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4F81" w14:textId="3AC15340" w:rsidR="0054585B" w:rsidRPr="00513FF0" w:rsidRDefault="0054585B" w:rsidP="00DA1465">
      <w:pPr>
        <w:pStyle w:val="Title"/>
        <w:rPr>
          <w:lang w:val="fr-CA"/>
        </w:rPr>
      </w:pPr>
      <w:bookmarkStart w:id="0" w:name="lt_pId014"/>
      <w:r w:rsidRPr="00513FF0">
        <w:rPr>
          <w:lang w:val="fr-CA"/>
        </w:rPr>
        <w:t>Atténuer les préjugés dans les processus d’évaluation par les pairs et d’évaluation du mérite</w:t>
      </w:r>
      <w:r w:rsidR="00DA1465">
        <w:rPr>
          <w:lang w:val="fr-CA"/>
        </w:rPr>
        <w:t xml:space="preserve"> : </w:t>
      </w:r>
      <w:r w:rsidRPr="00513FF0">
        <w:rPr>
          <w:lang w:val="fr-CA"/>
        </w:rPr>
        <w:t>Transcription</w:t>
      </w:r>
    </w:p>
    <w:p w14:paraId="78069D8B" w14:textId="16E3EF14" w:rsidR="0054585B" w:rsidRPr="00513FF0" w:rsidRDefault="0054585B" w:rsidP="0054585B">
      <w:pPr>
        <w:pStyle w:val="Heading1"/>
        <w:rPr>
          <w:lang w:val="fr-CA"/>
        </w:rPr>
      </w:pPr>
      <w:r w:rsidRPr="00513FF0">
        <w:rPr>
          <w:lang w:val="fr-CA"/>
        </w:rPr>
        <w:t>Titre</w:t>
      </w:r>
    </w:p>
    <w:p w14:paraId="3C0C6465" w14:textId="5739F50D" w:rsidR="002D3055" w:rsidRPr="00513FF0" w:rsidRDefault="002D3055" w:rsidP="00C03BBA">
      <w:pPr>
        <w:rPr>
          <w:b/>
          <w:bCs/>
          <w:lang w:val="fr-CA"/>
        </w:rPr>
      </w:pPr>
      <w:r w:rsidRPr="00513FF0">
        <w:rPr>
          <w:lang w:val="fr-CA"/>
        </w:rPr>
        <w:t>Bienvenue dans le module 2</w:t>
      </w:r>
      <w:bookmarkEnd w:id="0"/>
      <w:r w:rsidR="0054585B" w:rsidRPr="00513FF0">
        <w:rPr>
          <w:lang w:val="fr-CA"/>
        </w:rPr>
        <w:t xml:space="preserve"> : </w:t>
      </w:r>
      <w:bookmarkStart w:id="1" w:name="lt_pId015"/>
      <w:r w:rsidRPr="00513FF0">
        <w:rPr>
          <w:lang w:val="fr-CA"/>
        </w:rPr>
        <w:t>Atténuer les préjugés dans les processus d’évaluation par les pairs et d’évaluation du mérite</w:t>
      </w:r>
      <w:bookmarkEnd w:id="1"/>
      <w:r w:rsidRPr="00513FF0">
        <w:rPr>
          <w:lang w:val="fr-CA"/>
        </w:rPr>
        <w:t>.</w:t>
      </w:r>
      <w:bookmarkStart w:id="2" w:name="lt_pId016"/>
      <w:r w:rsidR="00C03BBA" w:rsidRPr="00513FF0">
        <w:rPr>
          <w:lang w:val="fr-CA"/>
        </w:rPr>
        <w:t xml:space="preserve"> </w:t>
      </w:r>
      <w:r w:rsidRPr="00513FF0">
        <w:rPr>
          <w:lang w:val="fr-CA"/>
        </w:rPr>
        <w:t>Ceci est le second module de la Série d’apprentissage sur l’excellence en évaluation par les pairs et en évaluation du mérite.</w:t>
      </w:r>
      <w:bookmarkEnd w:id="2"/>
    </w:p>
    <w:p w14:paraId="42745D0B" w14:textId="5ADF9E78" w:rsidR="002D3055" w:rsidRPr="00513FF0" w:rsidRDefault="002D3055" w:rsidP="00C03BBA">
      <w:pPr>
        <w:pStyle w:val="Heading1"/>
        <w:rPr>
          <w:lang w:val="fr-CA"/>
        </w:rPr>
      </w:pPr>
      <w:r w:rsidRPr="00513FF0">
        <w:rPr>
          <w:lang w:val="fr-CA"/>
        </w:rPr>
        <w:t xml:space="preserve">Quelques </w:t>
      </w:r>
      <w:r w:rsidR="00EE2C5C" w:rsidRPr="00EE2C5C">
        <w:rPr>
          <w:lang w:val="fr-CA"/>
        </w:rPr>
        <w:t xml:space="preserve">précisions </w:t>
      </w:r>
      <w:r w:rsidRPr="00513FF0">
        <w:rPr>
          <w:lang w:val="fr-CA"/>
        </w:rPr>
        <w:t xml:space="preserve">avant de commencer </w:t>
      </w:r>
      <w:bookmarkStart w:id="3" w:name="lt_pId019"/>
    </w:p>
    <w:bookmarkEnd w:id="3"/>
    <w:p w14:paraId="683D601E" w14:textId="619FF39B" w:rsidR="002D3055" w:rsidRPr="00513FF0" w:rsidRDefault="002D3055" w:rsidP="00E174E6">
      <w:pPr>
        <w:rPr>
          <w:rFonts w:ascii="Calibri" w:hAnsi="Calibri" w:cs="Calibri"/>
          <w:szCs w:val="22"/>
          <w:lang w:val="fr-CA"/>
        </w:rPr>
      </w:pPr>
      <w:r w:rsidRPr="00513FF0">
        <w:rPr>
          <w:rFonts w:cs="Calibri"/>
          <w:lang w:val="fr-CA"/>
        </w:rPr>
        <w:t>Pour une expérience optimale, utilisez Google Chrome ou Microsoft Edge à partir d’un Mac ou d’un PC. Certains outils d’accessibilité peuvent ne pas fonctionner dans d’autres navigateurs.</w:t>
      </w:r>
      <w:bookmarkStart w:id="4" w:name="lt_pId021"/>
      <w:r w:rsidR="00C03BBA" w:rsidRPr="00513FF0">
        <w:rPr>
          <w:rFonts w:cs="Calibri"/>
          <w:lang w:val="fr-CA"/>
        </w:rPr>
        <w:t xml:space="preserve"> </w:t>
      </w:r>
      <w:r w:rsidRPr="00513FF0">
        <w:rPr>
          <w:rFonts w:cs="Calibri"/>
          <w:lang w:val="fr-CA"/>
        </w:rPr>
        <w:t>Dans les rares cas où la narration diffère du texte à l’écran, des sous-titres codés s’afficheront.</w:t>
      </w:r>
      <w:bookmarkEnd w:id="4"/>
      <w:r w:rsidR="00C03BBA" w:rsidRPr="00513FF0">
        <w:rPr>
          <w:rFonts w:cs="Calibri"/>
          <w:lang w:val="fr-CA"/>
        </w:rPr>
        <w:t xml:space="preserve"> </w:t>
      </w:r>
      <w:r w:rsidRPr="00513FF0">
        <w:rPr>
          <w:rFonts w:ascii="Calibri" w:hAnsi="Calibri" w:cs="Calibri"/>
          <w:szCs w:val="22"/>
          <w:lang w:val="fr-CA"/>
        </w:rPr>
        <w:t>Comme le jargon évolue constamment, le contenu sera actualisé sur une base régulière, s’il y a lieu.</w:t>
      </w:r>
    </w:p>
    <w:p w14:paraId="159D445B" w14:textId="77777777" w:rsidR="002D3055" w:rsidRPr="00513FF0" w:rsidRDefault="002D3055" w:rsidP="00C03BBA">
      <w:pPr>
        <w:pStyle w:val="Heading1"/>
        <w:rPr>
          <w:lang w:val="fr-CA"/>
        </w:rPr>
      </w:pPr>
      <w:r w:rsidRPr="00513FF0">
        <w:rPr>
          <w:lang w:val="fr-CA"/>
        </w:rPr>
        <w:t>Naviguer dans ce module</w:t>
      </w:r>
      <w:bookmarkStart w:id="5" w:name="lt_pId024"/>
    </w:p>
    <w:p w14:paraId="2BCEBF53" w14:textId="11BAE2B3" w:rsidR="002D3055" w:rsidRPr="00513FF0" w:rsidRDefault="002D3055" w:rsidP="00E174E6">
      <w:pPr>
        <w:rPr>
          <w:b/>
          <w:bCs/>
          <w:lang w:val="fr-CA"/>
        </w:rPr>
      </w:pPr>
      <w:r w:rsidRPr="00513FF0">
        <w:rPr>
          <w:lang w:val="fr-CA"/>
        </w:rPr>
        <w:t>Utilisez la barre de lecture pour suspendre la lecture, passer d’une diapositive à l’autre ou couper le son.</w:t>
      </w:r>
      <w:bookmarkEnd w:id="5"/>
      <w:r w:rsidRPr="00513FF0">
        <w:rPr>
          <w:lang w:val="fr-CA"/>
        </w:rPr>
        <w:t xml:space="preserve"> </w:t>
      </w:r>
      <w:bookmarkStart w:id="6" w:name="lt_pId025"/>
      <w:r w:rsidRPr="00513FF0">
        <w:rPr>
          <w:lang w:val="fr-CA"/>
        </w:rPr>
        <w:t>Vous pouvez également activer et désactiver les sous-titres, consulter la table des matières et réduire ou déplacer la barre de lecture.</w:t>
      </w:r>
      <w:bookmarkEnd w:id="6"/>
    </w:p>
    <w:p w14:paraId="358E8EB9" w14:textId="77777777" w:rsidR="002D3055" w:rsidRPr="00513FF0" w:rsidRDefault="002D3055" w:rsidP="00C03BBA">
      <w:pPr>
        <w:pStyle w:val="Heading1"/>
        <w:rPr>
          <w:lang w:val="fr-CA"/>
        </w:rPr>
      </w:pPr>
      <w:bookmarkStart w:id="7" w:name="lt_pId027"/>
      <w:r w:rsidRPr="00513FF0">
        <w:rPr>
          <w:lang w:val="fr-CA"/>
        </w:rPr>
        <w:t>Introduction</w:t>
      </w:r>
      <w:bookmarkEnd w:id="7"/>
    </w:p>
    <w:p w14:paraId="38F4CA7A" w14:textId="56CA575D" w:rsidR="002D3055" w:rsidRPr="00513FF0" w:rsidRDefault="002D3055" w:rsidP="00E174E6">
      <w:pPr>
        <w:rPr>
          <w:lang w:val="fr-CA"/>
        </w:rPr>
      </w:pPr>
      <w:r w:rsidRPr="00513FF0">
        <w:rPr>
          <w:lang w:val="fr-CA"/>
        </w:rPr>
        <w:t>Ce module est conçu pour vous aider à comprendre comment les préjugés systémiques et individuels peuvent influencer l’évaluation par les pairs.</w:t>
      </w:r>
      <w:r w:rsidR="0056031F" w:rsidRPr="00513FF0">
        <w:rPr>
          <w:lang w:val="fr-CA"/>
        </w:rPr>
        <w:t xml:space="preserve"> </w:t>
      </w:r>
      <w:r w:rsidRPr="00513FF0">
        <w:rPr>
          <w:lang w:val="fr-CA"/>
        </w:rPr>
        <w:t>Les objectifs d’apprentissage du module sont les suivants :</w:t>
      </w:r>
    </w:p>
    <w:p w14:paraId="22087AA5" w14:textId="31DAEC88" w:rsidR="002D3055" w:rsidRPr="00513FF0" w:rsidRDefault="002D3055" w:rsidP="0056031F">
      <w:pPr>
        <w:pStyle w:val="ListParagraph"/>
        <w:numPr>
          <w:ilvl w:val="0"/>
          <w:numId w:val="31"/>
        </w:numPr>
        <w:rPr>
          <w:lang w:val="fr-CA"/>
        </w:rPr>
      </w:pPr>
      <w:r w:rsidRPr="00513FF0">
        <w:rPr>
          <w:lang w:val="fr-CA"/>
        </w:rPr>
        <w:t xml:space="preserve">Décrire à quel moment du processus d’évaluation par les pairs les préjugés </w:t>
      </w:r>
      <w:proofErr w:type="gramStart"/>
      <w:r w:rsidRPr="00513FF0">
        <w:rPr>
          <w:lang w:val="fr-CA"/>
        </w:rPr>
        <w:t>sont</w:t>
      </w:r>
      <w:proofErr w:type="gramEnd"/>
      <w:r w:rsidRPr="00513FF0">
        <w:rPr>
          <w:lang w:val="fr-CA"/>
        </w:rPr>
        <w:t xml:space="preserve"> susceptibles de se manifester</w:t>
      </w:r>
      <w:r w:rsidR="0056031F" w:rsidRPr="00513FF0">
        <w:rPr>
          <w:lang w:val="fr-CA"/>
        </w:rPr>
        <w:t>.</w:t>
      </w:r>
    </w:p>
    <w:p w14:paraId="3A55DAFE" w14:textId="1953FA83" w:rsidR="002D3055" w:rsidRPr="00513FF0" w:rsidRDefault="002D3055" w:rsidP="0056031F">
      <w:pPr>
        <w:pStyle w:val="ListParagraph"/>
        <w:numPr>
          <w:ilvl w:val="0"/>
          <w:numId w:val="31"/>
        </w:numPr>
        <w:rPr>
          <w:lang w:val="fr-CA"/>
        </w:rPr>
      </w:pPr>
      <w:r w:rsidRPr="00513FF0">
        <w:rPr>
          <w:lang w:val="fr-CA"/>
        </w:rPr>
        <w:lastRenderedPageBreak/>
        <w:t>Décrire les techniques permettant d’écarter les préjugés et les microagressions de l’évaluation par les pairs</w:t>
      </w:r>
      <w:r w:rsidR="0056031F" w:rsidRPr="00513FF0">
        <w:rPr>
          <w:lang w:val="fr-CA"/>
        </w:rPr>
        <w:t>.</w:t>
      </w:r>
    </w:p>
    <w:p w14:paraId="0ABF0DF4" w14:textId="45BE36CD" w:rsidR="002D3055" w:rsidRPr="00513FF0" w:rsidRDefault="002D3055" w:rsidP="0056031F">
      <w:pPr>
        <w:pStyle w:val="ListParagraph"/>
        <w:numPr>
          <w:ilvl w:val="0"/>
          <w:numId w:val="31"/>
        </w:numPr>
        <w:rPr>
          <w:b/>
          <w:bCs/>
          <w:lang w:val="fr-CA"/>
        </w:rPr>
      </w:pPr>
      <w:r w:rsidRPr="00513FF0">
        <w:rPr>
          <w:lang w:val="fr-CA"/>
        </w:rPr>
        <w:t>Encourager un écosystème de recherche diversifié, inclusif et culturellement sécurisant</w:t>
      </w:r>
      <w:r w:rsidR="0056031F" w:rsidRPr="00513FF0">
        <w:rPr>
          <w:lang w:val="fr-CA"/>
        </w:rPr>
        <w:t>.</w:t>
      </w:r>
    </w:p>
    <w:p w14:paraId="5E870EA6" w14:textId="77777777" w:rsidR="002D3055" w:rsidRPr="00513FF0" w:rsidRDefault="002D3055" w:rsidP="0056031F">
      <w:pPr>
        <w:pStyle w:val="Heading1"/>
        <w:rPr>
          <w:lang w:val="fr-CA"/>
        </w:rPr>
      </w:pPr>
      <w:bookmarkStart w:id="8" w:name="lt_pId034"/>
      <w:r w:rsidRPr="00513FF0">
        <w:rPr>
          <w:lang w:val="fr-CA"/>
        </w:rPr>
        <w:t>Un mot sur votre bien-être</w:t>
      </w:r>
      <w:bookmarkEnd w:id="8"/>
      <w:r w:rsidRPr="00513FF0">
        <w:rPr>
          <w:lang w:val="fr-CA"/>
        </w:rPr>
        <w:t xml:space="preserve"> </w:t>
      </w:r>
    </w:p>
    <w:p w14:paraId="46606A72" w14:textId="6E9AB430" w:rsidR="002D3055" w:rsidRPr="00513FF0" w:rsidRDefault="00F22463" w:rsidP="00E174E6">
      <w:pPr>
        <w:rPr>
          <w:bCs/>
          <w:lang w:val="fr-CA"/>
        </w:rPr>
      </w:pPr>
      <w:bookmarkStart w:id="9" w:name="lt_pId035"/>
      <w:r w:rsidRPr="00F22463">
        <w:rPr>
          <w:bCs/>
          <w:lang w:val="fr-CA"/>
        </w:rPr>
        <w:t xml:space="preserve">Chaque personne </w:t>
      </w:r>
      <w:r w:rsidR="002D3055" w:rsidRPr="00513FF0">
        <w:rPr>
          <w:bCs/>
          <w:lang w:val="fr-CA"/>
        </w:rPr>
        <w:t>interprète la notion de préjugés à sa façon, selon son</w:t>
      </w:r>
      <w:r w:rsidR="00C60F6B">
        <w:rPr>
          <w:bCs/>
          <w:lang w:val="fr-CA"/>
        </w:rPr>
        <w:t xml:space="preserve"> expérience concrète</w:t>
      </w:r>
      <w:r w:rsidR="002D3055" w:rsidRPr="00513FF0">
        <w:rPr>
          <w:bCs/>
          <w:lang w:val="fr-CA"/>
        </w:rPr>
        <w:t>.</w:t>
      </w:r>
      <w:bookmarkEnd w:id="9"/>
      <w:r w:rsidR="002D3055" w:rsidRPr="00513FF0">
        <w:rPr>
          <w:bCs/>
          <w:lang w:val="fr-CA"/>
        </w:rPr>
        <w:t xml:space="preserve"> </w:t>
      </w:r>
      <w:bookmarkStart w:id="10" w:name="lt_pId036"/>
      <w:r w:rsidR="002D3055" w:rsidRPr="00513FF0">
        <w:rPr>
          <w:bCs/>
          <w:lang w:val="fr-CA"/>
        </w:rPr>
        <w:t>Pour certaines personnes, le sujet des préjugés lors de l’évaluation par les pairs sera relativement nouveau.</w:t>
      </w:r>
      <w:bookmarkEnd w:id="10"/>
      <w:r w:rsidR="002D3055" w:rsidRPr="00513FF0">
        <w:rPr>
          <w:bCs/>
          <w:lang w:val="fr-CA"/>
        </w:rPr>
        <w:t xml:space="preserve"> </w:t>
      </w:r>
      <w:bookmarkStart w:id="11" w:name="lt_pId037"/>
      <w:r w:rsidR="002D3055" w:rsidRPr="00513FF0">
        <w:rPr>
          <w:bCs/>
          <w:lang w:val="fr-CA"/>
        </w:rPr>
        <w:t>Pour d’autres, les préjugés, les microagressions et la discrimination pourraient faire partie de leur quotidien.</w:t>
      </w:r>
      <w:bookmarkEnd w:id="11"/>
      <w:r w:rsidR="002D3055" w:rsidRPr="00513FF0">
        <w:rPr>
          <w:bCs/>
          <w:lang w:val="fr-CA"/>
        </w:rPr>
        <w:t xml:space="preserve">  </w:t>
      </w:r>
      <w:bookmarkStart w:id="12" w:name="lt_pId038"/>
      <w:r w:rsidR="002D3055" w:rsidRPr="00513FF0">
        <w:rPr>
          <w:lang w:val="fr-CA"/>
        </w:rPr>
        <w:t>À mesure que vous progressez dans le module, prenez le temps d’évaluer votre état physique et mental alors que vous réagissez au contenu.</w:t>
      </w:r>
      <w:bookmarkEnd w:id="12"/>
      <w:r w:rsidR="002D3055" w:rsidRPr="00513FF0">
        <w:rPr>
          <w:lang w:val="fr-CA"/>
        </w:rPr>
        <w:t xml:space="preserve"> </w:t>
      </w:r>
      <w:bookmarkStart w:id="13" w:name="lt_pId040"/>
      <w:r w:rsidR="002D3055" w:rsidRPr="00513FF0">
        <w:rPr>
          <w:bCs/>
          <w:lang w:val="fr-CA"/>
        </w:rPr>
        <w:t>N’hésitez pas à faire une pause aussi souvent que nécessaire.</w:t>
      </w:r>
      <w:bookmarkEnd w:id="13"/>
      <w:r w:rsidR="002D3055" w:rsidRPr="00513FF0">
        <w:rPr>
          <w:bCs/>
          <w:lang w:val="fr-CA"/>
        </w:rPr>
        <w:t xml:space="preserve"> </w:t>
      </w:r>
      <w:bookmarkStart w:id="14" w:name="lt_pId041"/>
      <w:r w:rsidR="002D3055" w:rsidRPr="00513FF0">
        <w:rPr>
          <w:bCs/>
          <w:lang w:val="fr-CA"/>
        </w:rPr>
        <w:t>L’enregistrement reprendra là où vous l’avez arrêté.</w:t>
      </w:r>
      <w:bookmarkEnd w:id="14"/>
      <w:r w:rsidR="002D3055" w:rsidRPr="00513FF0">
        <w:rPr>
          <w:bCs/>
          <w:lang w:val="fr-CA"/>
        </w:rPr>
        <w:t xml:space="preserve"> </w:t>
      </w:r>
      <w:bookmarkStart w:id="15" w:name="lt_pId042"/>
      <w:r w:rsidR="002D3055" w:rsidRPr="00513FF0">
        <w:rPr>
          <w:bCs/>
          <w:lang w:val="fr-CA"/>
        </w:rPr>
        <w:t>Si vous vous sentez incapable de terminer le cours en raison de l’impact de son contenu, cliquez sur le bouton à l’écran pour obtenir de l’aide.</w:t>
      </w:r>
      <w:bookmarkEnd w:id="15"/>
      <w:r w:rsidR="002D3055" w:rsidRPr="00513FF0">
        <w:rPr>
          <w:bCs/>
          <w:lang w:val="fr-CA"/>
        </w:rPr>
        <w:t xml:space="preserve"> </w:t>
      </w:r>
    </w:p>
    <w:bookmarkStart w:id="16" w:name="lt_pId044"/>
    <w:p w14:paraId="7BE06B41" w14:textId="33C40130" w:rsidR="002D3055" w:rsidRPr="00513FF0" w:rsidRDefault="002D3055" w:rsidP="00E174E6">
      <w:pPr>
        <w:rPr>
          <w:b/>
          <w:bCs/>
          <w:lang w:val="fr-CA"/>
        </w:rPr>
      </w:pPr>
      <w:r w:rsidRPr="00513FF0">
        <w:rPr>
          <w:lang w:val="fr-CA"/>
        </w:rPr>
        <w:fldChar w:fldCharType="begin"/>
      </w:r>
      <w:r w:rsidRPr="00513FF0">
        <w:rPr>
          <w:lang w:val="fr-CA"/>
        </w:rPr>
        <w:instrText>HYPERLINK "https://www.canada.ca/fr/sante-publique/services/services-sante-mentale/sante-mentale-obtenir-aide.html"</w:instrText>
      </w:r>
      <w:r w:rsidRPr="00513FF0">
        <w:rPr>
          <w:lang w:val="fr-CA"/>
        </w:rPr>
      </w:r>
      <w:r w:rsidRPr="00513FF0">
        <w:rPr>
          <w:lang w:val="fr-CA"/>
        </w:rPr>
        <w:fldChar w:fldCharType="separate"/>
      </w:r>
      <w:r w:rsidRPr="00513FF0">
        <w:rPr>
          <w:rStyle w:val="Hyperlink"/>
          <w:bCs/>
          <w:lang w:val="fr-CA"/>
        </w:rPr>
        <w:t>Soutien en santé mentale — Canada.ca</w:t>
      </w:r>
      <w:r w:rsidRPr="00513FF0">
        <w:rPr>
          <w:lang w:val="fr-CA"/>
        </w:rPr>
        <w:fldChar w:fldCharType="end"/>
      </w:r>
      <w:bookmarkEnd w:id="16"/>
    </w:p>
    <w:p w14:paraId="63AF3200" w14:textId="77777777" w:rsidR="00EF434E" w:rsidRPr="00513FF0" w:rsidRDefault="00EF434E" w:rsidP="00EF434E">
      <w:pPr>
        <w:pStyle w:val="Heading1"/>
        <w:rPr>
          <w:lang w:val="fr-CA"/>
        </w:rPr>
      </w:pPr>
      <w:bookmarkStart w:id="17" w:name="lt_pId047"/>
      <w:r w:rsidRPr="00513FF0">
        <w:rPr>
          <w:lang w:val="fr-CA"/>
        </w:rPr>
        <w:t>Objectif 1</w:t>
      </w:r>
    </w:p>
    <w:bookmarkStart w:id="18" w:name="lt_pId046"/>
    <w:p w14:paraId="447DB2DF" w14:textId="77777777" w:rsidR="000A1098" w:rsidRPr="00513FF0" w:rsidRDefault="000A1098" w:rsidP="000A1098">
      <w:pPr>
        <w:rPr>
          <w:lang w:val="fr-CA"/>
        </w:rPr>
      </w:pPr>
      <w:r w:rsidRPr="00513FF0">
        <w:rPr>
          <w:lang w:val="fr-CA"/>
        </w:rPr>
        <w:fldChar w:fldCharType="begin"/>
      </w:r>
      <w:r w:rsidRPr="00513FF0">
        <w:rPr>
          <w:lang w:val="fr-CA"/>
        </w:rPr>
        <w:instrText>HYPERLINK "https://cihr-irsc.gc.ca/f/54486.html" \l "a8"</w:instrText>
      </w:r>
      <w:r w:rsidRPr="00513FF0">
        <w:rPr>
          <w:lang w:val="fr-CA"/>
        </w:rPr>
      </w:r>
      <w:r w:rsidRPr="00513FF0">
        <w:rPr>
          <w:lang w:val="fr-CA"/>
        </w:rPr>
        <w:fldChar w:fldCharType="separate"/>
      </w:r>
      <w:r w:rsidRPr="00513FF0">
        <w:rPr>
          <w:rStyle w:val="Hyperlink"/>
          <w:lang w:val="fr-CA"/>
        </w:rPr>
        <w:t>Références</w:t>
      </w:r>
      <w:r w:rsidRPr="00513FF0">
        <w:rPr>
          <w:lang w:val="fr-CA"/>
        </w:rPr>
        <w:fldChar w:fldCharType="end"/>
      </w:r>
      <w:bookmarkEnd w:id="18"/>
    </w:p>
    <w:p w14:paraId="76C9E976" w14:textId="35AD2D30" w:rsidR="002D3055" w:rsidRPr="00513FF0" w:rsidRDefault="002D3055" w:rsidP="00E174E6">
      <w:pPr>
        <w:rPr>
          <w:lang w:val="fr-CA"/>
        </w:rPr>
      </w:pPr>
      <w:r w:rsidRPr="00513FF0">
        <w:rPr>
          <w:lang w:val="fr-CA"/>
        </w:rPr>
        <w:t>Les préjugés dans les processus d’évaluation par les pairs</w:t>
      </w:r>
      <w:bookmarkEnd w:id="17"/>
      <w:r w:rsidR="00EF434E" w:rsidRPr="00513FF0">
        <w:rPr>
          <w:lang w:val="fr-CA"/>
        </w:rPr>
        <w:t xml:space="preserve">. </w:t>
      </w:r>
      <w:r w:rsidRPr="00513FF0">
        <w:rPr>
          <w:lang w:val="fr-CA"/>
        </w:rPr>
        <w:t xml:space="preserve">Les préjugés peuvent se manifester de nombreuses façons au cours du processus d’évaluation par les pairs. Voyons trois composantes du processus où les préjugés sont susceptibles de se manifester </w:t>
      </w:r>
      <w:bookmarkStart w:id="19" w:name="lt_pId049"/>
      <w:r w:rsidRPr="00513FF0">
        <w:rPr>
          <w:lang w:val="fr-CA"/>
        </w:rPr>
        <w:t>:</w:t>
      </w:r>
      <w:bookmarkEnd w:id="19"/>
      <w:r w:rsidRPr="00513FF0">
        <w:rPr>
          <w:lang w:val="fr-CA"/>
        </w:rPr>
        <w:t xml:space="preserve">   </w:t>
      </w:r>
    </w:p>
    <w:p w14:paraId="3B0E51E6" w14:textId="77777777" w:rsidR="002D3055" w:rsidRPr="00513FF0" w:rsidRDefault="002D3055" w:rsidP="00EF434E">
      <w:pPr>
        <w:pStyle w:val="ListParagraph"/>
        <w:numPr>
          <w:ilvl w:val="0"/>
          <w:numId w:val="32"/>
        </w:numPr>
        <w:rPr>
          <w:lang w:val="fr-CA"/>
        </w:rPr>
      </w:pPr>
      <w:bookmarkStart w:id="20" w:name="lt_pId050"/>
      <w:r w:rsidRPr="00513FF0">
        <w:rPr>
          <w:lang w:val="fr-CA"/>
        </w:rPr>
        <w:t>Lettres de recommandation et évaluation</w:t>
      </w:r>
      <w:bookmarkEnd w:id="20"/>
      <w:r w:rsidRPr="00513FF0">
        <w:rPr>
          <w:lang w:val="fr-CA"/>
        </w:rPr>
        <w:t>s proprement dites</w:t>
      </w:r>
    </w:p>
    <w:p w14:paraId="2F68AC1D" w14:textId="77777777" w:rsidR="002D3055" w:rsidRPr="00513FF0" w:rsidRDefault="002D3055" w:rsidP="00EF434E">
      <w:pPr>
        <w:pStyle w:val="ListParagraph"/>
        <w:numPr>
          <w:ilvl w:val="0"/>
          <w:numId w:val="32"/>
        </w:numPr>
        <w:rPr>
          <w:lang w:val="fr-CA"/>
        </w:rPr>
      </w:pPr>
      <w:bookmarkStart w:id="21" w:name="lt_pId051"/>
      <w:r w:rsidRPr="00513FF0">
        <w:rPr>
          <w:lang w:val="fr-CA"/>
        </w:rPr>
        <w:t>Indicateurs traditionnels</w:t>
      </w:r>
      <w:bookmarkEnd w:id="21"/>
      <w:r w:rsidRPr="00513FF0">
        <w:rPr>
          <w:lang w:val="fr-CA"/>
        </w:rPr>
        <w:t xml:space="preserve"> </w:t>
      </w:r>
    </w:p>
    <w:p w14:paraId="5D9F99EB" w14:textId="77777777" w:rsidR="002D3055" w:rsidRPr="00513FF0" w:rsidRDefault="002D3055" w:rsidP="00EF434E">
      <w:pPr>
        <w:pStyle w:val="ListParagraph"/>
        <w:numPr>
          <w:ilvl w:val="0"/>
          <w:numId w:val="32"/>
        </w:numPr>
        <w:rPr>
          <w:lang w:val="fr-CA"/>
        </w:rPr>
      </w:pPr>
      <w:bookmarkStart w:id="22" w:name="lt_pId052"/>
      <w:r w:rsidRPr="00513FF0">
        <w:rPr>
          <w:lang w:val="fr-CA"/>
        </w:rPr>
        <w:t>Évaluation du thème et de la méthode de recherche</w:t>
      </w:r>
      <w:bookmarkEnd w:id="22"/>
    </w:p>
    <w:p w14:paraId="4EE0ADDA" w14:textId="7AB8A7DC" w:rsidR="002D3055" w:rsidRPr="00513FF0" w:rsidRDefault="002D3055" w:rsidP="00EF434E">
      <w:pPr>
        <w:pStyle w:val="Heading1"/>
        <w:rPr>
          <w:lang w:val="fr-CA"/>
        </w:rPr>
      </w:pPr>
      <w:bookmarkStart w:id="23" w:name="lt_pId054"/>
      <w:r w:rsidRPr="00513FF0">
        <w:rPr>
          <w:lang w:val="fr-CA"/>
        </w:rPr>
        <w:t>Lettres de recommandation et évaluation</w:t>
      </w:r>
      <w:bookmarkEnd w:id="23"/>
      <w:r w:rsidRPr="00513FF0">
        <w:rPr>
          <w:lang w:val="fr-CA"/>
        </w:rPr>
        <w:t xml:space="preserve">s </w:t>
      </w:r>
      <w:r w:rsidR="00EF434E" w:rsidRPr="00513FF0">
        <w:rPr>
          <w:lang w:val="fr-CA"/>
        </w:rPr>
        <w:t>1</w:t>
      </w:r>
    </w:p>
    <w:p w14:paraId="1C7A6A1A" w14:textId="77777777" w:rsidR="002D3055" w:rsidRPr="00513FF0" w:rsidRDefault="002D3055" w:rsidP="00E174E6">
      <w:pPr>
        <w:rPr>
          <w:b/>
          <w:bCs/>
          <w:lang w:val="fr-CA"/>
        </w:rPr>
      </w:pPr>
      <w:bookmarkStart w:id="24" w:name="lt_pId055"/>
      <w:r w:rsidRPr="00513FF0">
        <w:rPr>
          <w:lang w:val="fr-CA"/>
        </w:rPr>
        <w:t>Le ton et le vocabulaire utilisés dans les lettres de recommandation et lors des réunions peuvent trahir des préjugés.</w:t>
      </w:r>
      <w:bookmarkEnd w:id="24"/>
      <w:r w:rsidRPr="00513FF0">
        <w:rPr>
          <w:lang w:val="fr-CA"/>
        </w:rPr>
        <w:t xml:space="preserve"> </w:t>
      </w:r>
    </w:p>
    <w:p w14:paraId="1F451C1F" w14:textId="726EF8EF" w:rsidR="002D3055" w:rsidRPr="00513FF0" w:rsidRDefault="002D3055" w:rsidP="00EF434E">
      <w:pPr>
        <w:pStyle w:val="Heading1"/>
        <w:rPr>
          <w:lang w:val="fr-CA"/>
        </w:rPr>
      </w:pPr>
      <w:bookmarkStart w:id="25" w:name="lt_pId057"/>
      <w:r w:rsidRPr="00513FF0">
        <w:rPr>
          <w:lang w:val="fr-CA"/>
        </w:rPr>
        <w:t>Lettres de recommandation et évaluation</w:t>
      </w:r>
      <w:bookmarkEnd w:id="25"/>
      <w:r w:rsidRPr="00513FF0">
        <w:rPr>
          <w:lang w:val="fr-CA"/>
        </w:rPr>
        <w:t xml:space="preserve">s </w:t>
      </w:r>
      <w:r w:rsidR="00EF434E" w:rsidRPr="00513FF0">
        <w:rPr>
          <w:lang w:val="fr-CA"/>
        </w:rPr>
        <w:t>2</w:t>
      </w:r>
    </w:p>
    <w:p w14:paraId="5321B346" w14:textId="7092A5E4" w:rsidR="002D3055" w:rsidRPr="00513FF0" w:rsidRDefault="002D3055" w:rsidP="00E174E6">
      <w:pPr>
        <w:rPr>
          <w:b/>
          <w:bCs/>
          <w:lang w:val="fr-CA"/>
        </w:rPr>
      </w:pPr>
      <w:r w:rsidRPr="00513FF0">
        <w:rPr>
          <w:lang w:val="fr-CA"/>
        </w:rPr>
        <w:lastRenderedPageBreak/>
        <w:t>Par exemple, les lettres destinées aux femmes étudiant en médecine peuvent être plus courtes, contenir des « éléments suscitant le doute » et être moins axées sur les réalisations que les lettres destinées aux hommes. Elles contiennent souvent davantage d’adjectifs</w:t>
      </w:r>
      <w:bookmarkStart w:id="26" w:name="lt_pId059"/>
      <w:r w:rsidRPr="00513FF0">
        <w:rPr>
          <w:lang w:val="fr-CA"/>
        </w:rPr>
        <w:t xml:space="preserve"> racoleurs, comme </w:t>
      </w:r>
      <w:bookmarkStart w:id="27" w:name="lt_pId060"/>
      <w:bookmarkEnd w:id="26"/>
      <w:r w:rsidRPr="00513FF0">
        <w:rPr>
          <w:lang w:val="fr-CA"/>
        </w:rPr>
        <w:t>« travaillante », « consciencieuse » ou « responsable ».</w:t>
      </w:r>
      <w:bookmarkEnd w:id="27"/>
      <w:r w:rsidRPr="00513FF0">
        <w:rPr>
          <w:lang w:val="fr-CA"/>
        </w:rPr>
        <w:t xml:space="preserve"> </w:t>
      </w:r>
      <w:bookmarkStart w:id="28" w:name="lt_pId061"/>
      <w:r w:rsidRPr="00513FF0">
        <w:rPr>
          <w:lang w:val="fr-CA"/>
        </w:rPr>
        <w:t>Les lettres destinées aux hommes contiennent davantage d’adjectifs éloquents, comm</w:t>
      </w:r>
      <w:bookmarkEnd w:id="28"/>
      <w:r w:rsidRPr="00513FF0">
        <w:rPr>
          <w:lang w:val="fr-CA"/>
        </w:rPr>
        <w:t xml:space="preserve">e </w:t>
      </w:r>
      <w:bookmarkStart w:id="29" w:name="lt_pId062"/>
      <w:r w:rsidRPr="00513FF0">
        <w:rPr>
          <w:lang w:val="fr-CA"/>
        </w:rPr>
        <w:t>« remarquable », « superbe » ou « exceptionnel ».</w:t>
      </w:r>
      <w:bookmarkEnd w:id="29"/>
      <w:r w:rsidRPr="00513FF0">
        <w:rPr>
          <w:lang w:val="fr-CA"/>
        </w:rPr>
        <w:t xml:space="preserve"> </w:t>
      </w:r>
    </w:p>
    <w:p w14:paraId="4EE75FFE" w14:textId="5757267B" w:rsidR="002D3055" w:rsidRPr="00513FF0" w:rsidRDefault="002D3055" w:rsidP="008941B3">
      <w:pPr>
        <w:pStyle w:val="Heading1"/>
        <w:rPr>
          <w:lang w:val="fr-CA"/>
        </w:rPr>
      </w:pPr>
      <w:bookmarkStart w:id="30" w:name="lt_pId064"/>
      <w:r w:rsidRPr="00513FF0">
        <w:rPr>
          <w:lang w:val="fr-CA"/>
        </w:rPr>
        <w:t>Lettres de recommandation et évaluation</w:t>
      </w:r>
      <w:bookmarkEnd w:id="30"/>
      <w:r w:rsidRPr="00513FF0">
        <w:rPr>
          <w:lang w:val="fr-CA"/>
        </w:rPr>
        <w:t xml:space="preserve">s </w:t>
      </w:r>
      <w:r w:rsidR="008941B3" w:rsidRPr="00513FF0">
        <w:rPr>
          <w:lang w:val="fr-CA"/>
        </w:rPr>
        <w:t>3</w:t>
      </w:r>
    </w:p>
    <w:p w14:paraId="30E50589" w14:textId="3BBEFABD" w:rsidR="002D3055" w:rsidRPr="00513FF0" w:rsidRDefault="002D3055" w:rsidP="00E174E6">
      <w:pPr>
        <w:rPr>
          <w:b/>
          <w:bCs/>
          <w:lang w:val="fr-CA"/>
        </w:rPr>
      </w:pPr>
      <w:r w:rsidRPr="00513FF0">
        <w:rPr>
          <w:lang w:val="fr-CA"/>
        </w:rPr>
        <w:t>De même, les lettres de recommandation destinées aux étudiants en médecine noirs peuvent contenir moins de mots éloquents et davantage de termes moins positifs, comme « compétent ». Cela peut influencer notre perception des candidats et leurs chances de réussite. Une évaluation approfondie se concentre sur des critères pertinents et évite les commentaires biaisés sur la base de la langue ou du lieu</w:t>
      </w:r>
      <w:bookmarkStart w:id="31" w:name="lt_pId067"/>
      <w:r w:rsidRPr="00513FF0">
        <w:rPr>
          <w:lang w:val="fr-CA"/>
        </w:rPr>
        <w:t>.</w:t>
      </w:r>
      <w:bookmarkEnd w:id="31"/>
    </w:p>
    <w:p w14:paraId="5D122F9C" w14:textId="7118D565" w:rsidR="002D3055" w:rsidRPr="00513FF0" w:rsidRDefault="002D3055" w:rsidP="008941B3">
      <w:pPr>
        <w:pStyle w:val="Heading1"/>
        <w:rPr>
          <w:lang w:val="fr-CA"/>
        </w:rPr>
      </w:pPr>
      <w:r w:rsidRPr="00513FF0">
        <w:rPr>
          <w:lang w:val="fr-CA"/>
        </w:rPr>
        <w:t>Indicateurs traditionnels</w:t>
      </w:r>
      <w:r w:rsidR="008941B3" w:rsidRPr="00513FF0">
        <w:rPr>
          <w:lang w:val="fr-CA"/>
        </w:rPr>
        <w:t xml:space="preserve"> 1</w:t>
      </w:r>
    </w:p>
    <w:p w14:paraId="1DB96185" w14:textId="77777777" w:rsidR="002D3055" w:rsidRPr="00513FF0" w:rsidRDefault="002D3055" w:rsidP="00E174E6">
      <w:pPr>
        <w:rPr>
          <w:b/>
          <w:bCs/>
          <w:lang w:val="fr-CA"/>
        </w:rPr>
      </w:pPr>
      <w:bookmarkStart w:id="32" w:name="lt_pId070"/>
      <w:r w:rsidRPr="00513FF0">
        <w:rPr>
          <w:rFonts w:cstheme="minorHAnsi"/>
          <w:lang w:val="fr-CA"/>
        </w:rPr>
        <w:t>Les organismes subventionnaires se fondent sur des critères d’excellence de la recherche pour l’octroi de leur financement, mais que se passe-t-il si l’évaluation de ces critères est influencée par des préjugés?</w:t>
      </w:r>
      <w:bookmarkEnd w:id="32"/>
      <w:r w:rsidRPr="00513FF0">
        <w:rPr>
          <w:rFonts w:cstheme="minorHAnsi"/>
          <w:lang w:val="fr-CA"/>
        </w:rPr>
        <w:t xml:space="preserve"> </w:t>
      </w:r>
    </w:p>
    <w:p w14:paraId="6BDEE9BB" w14:textId="130D5080" w:rsidR="002D3055" w:rsidRPr="00513FF0" w:rsidRDefault="002D3055" w:rsidP="008941B3">
      <w:pPr>
        <w:pStyle w:val="Heading1"/>
        <w:rPr>
          <w:rFonts w:cstheme="minorHAnsi"/>
          <w:lang w:val="fr-CA"/>
        </w:rPr>
      </w:pPr>
      <w:r w:rsidRPr="00513FF0">
        <w:rPr>
          <w:lang w:val="fr-CA"/>
        </w:rPr>
        <w:t>Indicateurs traditionnels</w:t>
      </w:r>
      <w:r w:rsidRPr="00513FF0">
        <w:rPr>
          <w:rFonts w:cstheme="minorHAnsi"/>
          <w:lang w:val="fr-CA"/>
        </w:rPr>
        <w:t xml:space="preserve"> </w:t>
      </w:r>
      <w:r w:rsidR="008941B3" w:rsidRPr="00513FF0">
        <w:rPr>
          <w:rFonts w:cstheme="minorHAnsi"/>
          <w:lang w:val="fr-CA"/>
        </w:rPr>
        <w:t>2</w:t>
      </w:r>
    </w:p>
    <w:p w14:paraId="61B99089" w14:textId="77777777" w:rsidR="002D3055" w:rsidRPr="00513FF0" w:rsidRDefault="002D3055" w:rsidP="00E174E6">
      <w:pPr>
        <w:rPr>
          <w:b/>
          <w:bCs/>
          <w:lang w:val="fr-CA"/>
        </w:rPr>
      </w:pPr>
      <w:r w:rsidRPr="00513FF0">
        <w:rPr>
          <w:rFonts w:cstheme="minorHAnsi"/>
          <w:lang w:val="fr-CA"/>
        </w:rPr>
        <w:t xml:space="preserve">Les évaluateurs s’appuient souvent sur des indicateurs comme les années d’expérience, le nombre de publications et le facteur d’impact, en supposant qu’ils sont équitables. Cependant, ces indicateurs peuvent être biaisés, en particulier lorsqu’ils ne tiennent pas compte du contexte </w:t>
      </w:r>
      <w:bookmarkStart w:id="33" w:name="lt_pId074"/>
      <w:r w:rsidRPr="00513FF0">
        <w:rPr>
          <w:rFonts w:cstheme="minorHAnsi"/>
          <w:lang w:val="fr-CA"/>
        </w:rPr>
        <w:t>propre à chaque candidat.</w:t>
      </w:r>
      <w:bookmarkEnd w:id="33"/>
    </w:p>
    <w:p w14:paraId="26EABD4D" w14:textId="1C7EAB6D" w:rsidR="002D3055" w:rsidRPr="00513FF0" w:rsidRDefault="002D3055" w:rsidP="008941B3">
      <w:pPr>
        <w:pStyle w:val="Heading1"/>
        <w:rPr>
          <w:rFonts w:cstheme="minorHAnsi"/>
          <w:lang w:val="fr-CA"/>
        </w:rPr>
      </w:pPr>
      <w:r w:rsidRPr="00513FF0">
        <w:rPr>
          <w:lang w:val="fr-CA"/>
        </w:rPr>
        <w:t>Indicateurs traditionnels</w:t>
      </w:r>
      <w:r w:rsidRPr="00513FF0">
        <w:rPr>
          <w:rFonts w:cstheme="minorHAnsi"/>
          <w:lang w:val="fr-CA"/>
        </w:rPr>
        <w:t xml:space="preserve"> </w:t>
      </w:r>
      <w:r w:rsidR="008941B3" w:rsidRPr="00513FF0">
        <w:rPr>
          <w:rFonts w:cstheme="minorHAnsi"/>
          <w:lang w:val="fr-CA"/>
        </w:rPr>
        <w:t>3</w:t>
      </w:r>
    </w:p>
    <w:p w14:paraId="166CEB2C" w14:textId="77777777" w:rsidR="002D3055" w:rsidRPr="00513FF0" w:rsidRDefault="002D3055" w:rsidP="00E174E6">
      <w:pPr>
        <w:rPr>
          <w:b/>
          <w:bCs/>
          <w:lang w:val="fr-CA"/>
        </w:rPr>
      </w:pPr>
      <w:r w:rsidRPr="00513FF0">
        <w:rPr>
          <w:rFonts w:cstheme="minorHAnsi"/>
          <w:lang w:val="fr-CA"/>
        </w:rPr>
        <w:t>Des facteurs comme le domaine de recherche, le stade de carrière, le pays de publication et le thème étudié peuvent influencer la quantité et la nature des résultats. Cela ne signifie pas pour autant que les chercheurs ou leurs projets méritent moins d’être financés ou sont moins bons</w:t>
      </w:r>
      <w:bookmarkStart w:id="34" w:name="lt_pId078"/>
      <w:r w:rsidRPr="00513FF0">
        <w:rPr>
          <w:rFonts w:cstheme="minorHAnsi"/>
          <w:lang w:val="fr-CA"/>
        </w:rPr>
        <w:t>.</w:t>
      </w:r>
      <w:bookmarkEnd w:id="34"/>
    </w:p>
    <w:p w14:paraId="6B86B34D" w14:textId="0973D264" w:rsidR="002D3055" w:rsidRPr="00513FF0" w:rsidRDefault="002D3055" w:rsidP="008941B3">
      <w:pPr>
        <w:pStyle w:val="Heading1"/>
        <w:rPr>
          <w:lang w:val="fr-CA"/>
        </w:rPr>
      </w:pPr>
      <w:bookmarkStart w:id="35" w:name="lt_pId080"/>
      <w:r w:rsidRPr="00513FF0">
        <w:rPr>
          <w:lang w:val="fr-CA"/>
        </w:rPr>
        <w:t>DORA</w:t>
      </w:r>
      <w:bookmarkEnd w:id="35"/>
      <w:r w:rsidR="008941B3" w:rsidRPr="00513FF0">
        <w:rPr>
          <w:lang w:val="fr-CA"/>
        </w:rPr>
        <w:t xml:space="preserve"> 1</w:t>
      </w:r>
    </w:p>
    <w:p w14:paraId="7EE8509E" w14:textId="1A90A1AF" w:rsidR="002D3055" w:rsidRPr="00513FF0" w:rsidRDefault="002D3055" w:rsidP="00E174E6">
      <w:pPr>
        <w:rPr>
          <w:lang w:val="fr-CA"/>
        </w:rPr>
      </w:pPr>
      <w:bookmarkStart w:id="36" w:name="lt_pId081"/>
      <w:r w:rsidRPr="00513FF0">
        <w:rPr>
          <w:lang w:val="fr-CA"/>
        </w:rPr>
        <w:lastRenderedPageBreak/>
        <w:t xml:space="preserve">Admettant l’influence de ces facteurs, les trois organismes fédéraux de financement de la recherche ont signé la </w:t>
      </w:r>
      <w:r w:rsidR="008941B3" w:rsidRPr="00513FF0">
        <w:rPr>
          <w:lang w:val="fr-CA"/>
        </w:rPr>
        <w:t>Déclaration de San Francisco sur l’évaluation de la recherche (</w:t>
      </w:r>
      <w:r w:rsidRPr="00513FF0">
        <w:rPr>
          <w:lang w:val="fr-CA"/>
        </w:rPr>
        <w:t>DORA</w:t>
      </w:r>
      <w:bookmarkStart w:id="37" w:name="lt_pId082"/>
      <w:bookmarkEnd w:id="36"/>
      <w:r w:rsidR="008941B3" w:rsidRPr="00513FF0">
        <w:rPr>
          <w:lang w:val="fr-CA"/>
        </w:rPr>
        <w:t xml:space="preserve">). </w:t>
      </w:r>
      <w:r w:rsidRPr="00513FF0">
        <w:rPr>
          <w:lang w:val="fr-CA"/>
        </w:rPr>
        <w:t>Cliquez sur le bouton à l’écran pour consulter la DORA, une initiative mondiale visant à soutenir le développement et la promotion des meilleures pratiques d’évaluation de la recherche.</w:t>
      </w:r>
      <w:bookmarkEnd w:id="37"/>
      <w:r w:rsidRPr="00513FF0">
        <w:rPr>
          <w:lang w:val="fr-CA"/>
        </w:rPr>
        <w:t xml:space="preserve"> </w:t>
      </w:r>
    </w:p>
    <w:bookmarkStart w:id="38" w:name="lt_pId083"/>
    <w:p w14:paraId="3169B7D5" w14:textId="5875897E" w:rsidR="002D3055" w:rsidRPr="00513FF0" w:rsidRDefault="002D3055" w:rsidP="00E174E6">
      <w:pPr>
        <w:rPr>
          <w:b/>
          <w:bCs/>
          <w:lang w:val="fr-CA"/>
        </w:rPr>
      </w:pPr>
      <w:r w:rsidRPr="00513FF0">
        <w:rPr>
          <w:lang w:val="fr-CA"/>
        </w:rPr>
        <w:fldChar w:fldCharType="begin"/>
      </w:r>
      <w:r w:rsidRPr="00513FF0">
        <w:rPr>
          <w:lang w:val="fr-CA"/>
        </w:rPr>
        <w:instrText>HYPERLINK "https://sfdora.org/"</w:instrText>
      </w:r>
      <w:r w:rsidRPr="00513FF0">
        <w:rPr>
          <w:lang w:val="fr-CA"/>
        </w:rPr>
      </w:r>
      <w:r w:rsidRPr="00513FF0">
        <w:rPr>
          <w:lang w:val="fr-CA"/>
        </w:rPr>
        <w:fldChar w:fldCharType="separate"/>
      </w:r>
      <w:r w:rsidRPr="00513FF0">
        <w:rPr>
          <w:rStyle w:val="Hyperlink"/>
          <w:lang w:val="fr-CA"/>
        </w:rPr>
        <w:t>DORA</w:t>
      </w:r>
      <w:r w:rsidRPr="00513FF0">
        <w:rPr>
          <w:lang w:val="fr-CA"/>
        </w:rPr>
        <w:fldChar w:fldCharType="end"/>
      </w:r>
      <w:bookmarkEnd w:id="38"/>
    </w:p>
    <w:p w14:paraId="3FBE38BA" w14:textId="2F4B7C40" w:rsidR="002D3055" w:rsidRPr="00513FF0" w:rsidRDefault="002D3055" w:rsidP="008941B3">
      <w:pPr>
        <w:pStyle w:val="Heading1"/>
        <w:rPr>
          <w:lang w:val="fr-CA"/>
        </w:rPr>
      </w:pPr>
      <w:bookmarkStart w:id="39" w:name="lt_pId085"/>
      <w:r w:rsidRPr="00513FF0">
        <w:rPr>
          <w:lang w:val="fr-CA"/>
        </w:rPr>
        <w:t>DORA</w:t>
      </w:r>
      <w:bookmarkEnd w:id="39"/>
      <w:r w:rsidR="008941B3" w:rsidRPr="00513FF0">
        <w:rPr>
          <w:lang w:val="fr-CA"/>
        </w:rPr>
        <w:t xml:space="preserve"> 2</w:t>
      </w:r>
    </w:p>
    <w:p w14:paraId="7F9302F2" w14:textId="77777777" w:rsidR="002D3055" w:rsidRPr="00513FF0" w:rsidRDefault="002D3055" w:rsidP="00E174E6">
      <w:pPr>
        <w:rPr>
          <w:b/>
          <w:bCs/>
          <w:lang w:val="fr-CA"/>
        </w:rPr>
      </w:pPr>
      <w:bookmarkStart w:id="40" w:name="lt_pId086"/>
      <w:r w:rsidRPr="00513FF0">
        <w:rPr>
          <w:lang w:val="fr-CA"/>
        </w:rPr>
        <w:t>En signant la DORA, les trois organismes ont recommandé que les pairs évaluateurs prennent en compte la valeur et les retombées d’une variété de produits de recherche (ensembles de données, outils, normes, logiciels, partenariats, produits de mobilisation des connaissances, etc.) et non seulement des publications.</w:t>
      </w:r>
      <w:bookmarkEnd w:id="40"/>
      <w:r w:rsidRPr="00513FF0">
        <w:rPr>
          <w:lang w:val="fr-CA"/>
        </w:rPr>
        <w:t xml:space="preserve"> </w:t>
      </w:r>
    </w:p>
    <w:p w14:paraId="45E4F3C7" w14:textId="2E998EDA" w:rsidR="002D3055" w:rsidRPr="00513FF0" w:rsidRDefault="002D3055" w:rsidP="008941B3">
      <w:pPr>
        <w:pStyle w:val="Heading1"/>
        <w:rPr>
          <w:lang w:val="fr-CA"/>
        </w:rPr>
      </w:pPr>
      <w:bookmarkStart w:id="41" w:name="lt_pId088"/>
      <w:r w:rsidRPr="00513FF0">
        <w:rPr>
          <w:lang w:val="fr-CA"/>
        </w:rPr>
        <w:t>DORA</w:t>
      </w:r>
      <w:bookmarkEnd w:id="41"/>
      <w:r w:rsidR="008941B3" w:rsidRPr="00513FF0">
        <w:rPr>
          <w:lang w:val="fr-CA"/>
        </w:rPr>
        <w:t xml:space="preserve"> 3</w:t>
      </w:r>
    </w:p>
    <w:p w14:paraId="02AC0364" w14:textId="284A3669" w:rsidR="002D3055" w:rsidRPr="00513FF0" w:rsidRDefault="002D3055" w:rsidP="00E174E6">
      <w:pPr>
        <w:rPr>
          <w:lang w:val="fr-CA"/>
        </w:rPr>
      </w:pPr>
      <w:bookmarkStart w:id="42" w:name="lt_pId089"/>
      <w:r w:rsidRPr="00513FF0">
        <w:rPr>
          <w:lang w:val="fr-CA"/>
        </w:rPr>
        <w:t>On demande aussi aux évaluateurs de tenir compte d’un large éventail d’indicateurs afférents aux retombées des travaux, dont des indicateurs qualitatifs comme la mobilisation de la communauté, le mentorat constructif, la prise en considération de multiples systèmes de connaissances et l’incidence sur les politiques et les pratiques.</w:t>
      </w:r>
      <w:bookmarkEnd w:id="42"/>
    </w:p>
    <w:p w14:paraId="67E0C736" w14:textId="032AA102" w:rsidR="008941B3" w:rsidRPr="00513FF0" w:rsidRDefault="008941B3" w:rsidP="008941B3">
      <w:pPr>
        <w:pStyle w:val="Heading1"/>
        <w:rPr>
          <w:lang w:val="fr-CA"/>
        </w:rPr>
      </w:pPr>
      <w:r w:rsidRPr="00513FF0">
        <w:rPr>
          <w:lang w:val="fr-CA"/>
        </w:rPr>
        <w:t xml:space="preserve">Choix </w:t>
      </w:r>
      <w:r w:rsidR="00244EAD">
        <w:rPr>
          <w:lang w:val="fr-CA"/>
        </w:rPr>
        <w:t>m</w:t>
      </w:r>
      <w:r w:rsidR="00244EAD" w:rsidRPr="00513FF0">
        <w:rPr>
          <w:lang w:val="fr-CA"/>
        </w:rPr>
        <w:t xml:space="preserve">ultiple </w:t>
      </w:r>
      <w:r w:rsidRPr="00513FF0">
        <w:rPr>
          <w:lang w:val="fr-CA"/>
        </w:rPr>
        <w:t>1</w:t>
      </w:r>
    </w:p>
    <w:p w14:paraId="1C0AD019" w14:textId="77777777" w:rsidR="002D3055" w:rsidRPr="00513FF0" w:rsidRDefault="002D3055" w:rsidP="00E174E6">
      <w:pPr>
        <w:rPr>
          <w:lang w:val="fr-CA"/>
        </w:rPr>
      </w:pPr>
      <w:bookmarkStart w:id="43" w:name="lt_pId091"/>
      <w:r w:rsidRPr="00513FF0">
        <w:rPr>
          <w:lang w:val="fr-CA"/>
        </w:rPr>
        <w:t>Laquelle des affirmations suivantes décrit le mieux une évaluation des retombées de la recherche conforme à la DORA?</w:t>
      </w:r>
      <w:bookmarkEnd w:id="43"/>
    </w:p>
    <w:p w14:paraId="65DE0E79" w14:textId="77777777" w:rsidR="002D3055" w:rsidRPr="00513FF0" w:rsidRDefault="002D3055" w:rsidP="002D3055">
      <w:pPr>
        <w:pStyle w:val="ListParagraph"/>
        <w:numPr>
          <w:ilvl w:val="0"/>
          <w:numId w:val="29"/>
        </w:numPr>
        <w:spacing w:before="240" w:after="120"/>
        <w:rPr>
          <w:lang w:val="fr-CA"/>
        </w:rPr>
      </w:pPr>
      <w:bookmarkStart w:id="44" w:name="lt_pId092"/>
      <w:r w:rsidRPr="00513FF0">
        <w:rPr>
          <w:lang w:val="fr-CA"/>
        </w:rPr>
        <w:t>Les retombées sont principalement mesurées en fonction du nombre de publications dans des revues réputées.</w:t>
      </w:r>
      <w:bookmarkEnd w:id="44"/>
    </w:p>
    <w:p w14:paraId="12DE1C10" w14:textId="77777777" w:rsidR="002D3055" w:rsidRPr="00513FF0" w:rsidRDefault="002D3055" w:rsidP="002D3055">
      <w:pPr>
        <w:pStyle w:val="ListParagraph"/>
        <w:numPr>
          <w:ilvl w:val="0"/>
          <w:numId w:val="29"/>
        </w:numPr>
        <w:spacing w:before="240" w:after="120"/>
        <w:rPr>
          <w:lang w:val="fr-CA"/>
        </w:rPr>
      </w:pPr>
      <w:bookmarkStart w:id="45" w:name="lt_pId093"/>
      <w:r w:rsidRPr="00513FF0">
        <w:rPr>
          <w:lang w:val="fr-CA"/>
        </w:rPr>
        <w:t>Les retombées sont uniquement mesurées en fonction du nombre de citations d’un article.</w:t>
      </w:r>
      <w:bookmarkEnd w:id="45"/>
    </w:p>
    <w:p w14:paraId="6DE75F10" w14:textId="77777777" w:rsidR="002D3055" w:rsidRPr="00513FF0" w:rsidRDefault="002D3055" w:rsidP="002D3055">
      <w:pPr>
        <w:pStyle w:val="ListParagraph"/>
        <w:numPr>
          <w:ilvl w:val="0"/>
          <w:numId w:val="29"/>
        </w:numPr>
        <w:spacing w:before="240" w:after="120"/>
        <w:rPr>
          <w:lang w:val="fr-CA"/>
        </w:rPr>
      </w:pPr>
      <w:bookmarkStart w:id="46" w:name="lt_pId094"/>
      <w:r w:rsidRPr="00513FF0">
        <w:rPr>
          <w:lang w:val="fr-CA"/>
        </w:rPr>
        <w:t>Les retombées sont mesurées en fonction de l’importance de la question de recherche, de la qualité des méthodes et de l’incidence réelle de la recherche dans le domaine.</w:t>
      </w:r>
      <w:bookmarkEnd w:id="46"/>
    </w:p>
    <w:p w14:paraId="6036CD11" w14:textId="77777777" w:rsidR="002D3055" w:rsidRPr="00513FF0" w:rsidRDefault="002D3055" w:rsidP="002D3055">
      <w:pPr>
        <w:pStyle w:val="ListParagraph"/>
        <w:numPr>
          <w:ilvl w:val="0"/>
          <w:numId w:val="29"/>
        </w:numPr>
        <w:spacing w:before="240" w:after="120"/>
        <w:rPr>
          <w:lang w:val="fr-CA"/>
        </w:rPr>
      </w:pPr>
      <w:bookmarkStart w:id="47" w:name="lt_pId095"/>
      <w:r w:rsidRPr="00513FF0">
        <w:rPr>
          <w:lang w:val="fr-CA"/>
        </w:rPr>
        <w:t>Les retombées sont mesurées en fonction du prestige de l’établissement où les travaux ont été menés.</w:t>
      </w:r>
      <w:bookmarkEnd w:id="47"/>
    </w:p>
    <w:p w14:paraId="2C62EB8A" w14:textId="5A87E600" w:rsidR="002D3055" w:rsidRPr="00513FF0" w:rsidRDefault="002D3055" w:rsidP="00E174E6">
      <w:pPr>
        <w:rPr>
          <w:lang w:val="fr-CA"/>
        </w:rPr>
      </w:pPr>
      <w:bookmarkStart w:id="48" w:name="lt_pId096"/>
      <w:r w:rsidRPr="00513FF0">
        <w:rPr>
          <w:lang w:val="fr-CA"/>
        </w:rPr>
        <w:lastRenderedPageBreak/>
        <w:t>L’affirmation c) reflète l’approche holistique préconisée par la DORA, qui encourage la prise en compte de divers facteurs autres que les indicateurs traditionnels, comme le facteur d’impact ou le nombre de citations.</w:t>
      </w:r>
      <w:bookmarkEnd w:id="48"/>
      <w:r w:rsidRPr="00513FF0">
        <w:rPr>
          <w:lang w:val="fr-CA"/>
        </w:rPr>
        <w:t xml:space="preserve"> Cliquez sur l’écran pour continuer.</w:t>
      </w:r>
    </w:p>
    <w:p w14:paraId="69F2E0D3" w14:textId="77777777" w:rsidR="002D3055" w:rsidRPr="00513FF0" w:rsidRDefault="002D3055" w:rsidP="00E174E6">
      <w:pPr>
        <w:rPr>
          <w:lang w:val="fr-CA"/>
        </w:rPr>
      </w:pPr>
      <w:bookmarkStart w:id="49" w:name="lt_pId097"/>
      <w:r w:rsidRPr="00513FF0">
        <w:rPr>
          <w:lang w:val="fr-CA"/>
        </w:rPr>
        <w:t>Mauvaise réponse :</w:t>
      </w:r>
      <w:bookmarkEnd w:id="49"/>
      <w:r w:rsidRPr="00513FF0">
        <w:rPr>
          <w:lang w:val="fr-CA"/>
        </w:rPr>
        <w:t xml:space="preserve"> </w:t>
      </w:r>
    </w:p>
    <w:p w14:paraId="384AD058" w14:textId="6753D73C" w:rsidR="002D3055" w:rsidRPr="00513FF0" w:rsidRDefault="002D3055" w:rsidP="00E174E6">
      <w:pPr>
        <w:rPr>
          <w:lang w:val="fr-CA"/>
        </w:rPr>
      </w:pPr>
      <w:bookmarkStart w:id="50" w:name="lt_pId098"/>
      <w:r w:rsidRPr="00513FF0">
        <w:rPr>
          <w:lang w:val="fr-CA"/>
        </w:rPr>
        <w:t>Votre réponse correspond à l’un des indicateurs traditionnels (comme le nombre de publications ou de citations). Toutefois, comme le préconise la DORA</w:t>
      </w:r>
      <w:bookmarkEnd w:id="50"/>
      <w:r w:rsidRPr="00513FF0">
        <w:rPr>
          <w:lang w:val="fr-CA"/>
        </w:rPr>
        <w:t xml:space="preserve">, les retombées devraient faire l’objet d’une évaluation holistique englobant des facteurs comme </w:t>
      </w:r>
      <w:bookmarkStart w:id="51" w:name="lt_pId099"/>
      <w:r w:rsidRPr="00513FF0">
        <w:rPr>
          <w:lang w:val="fr-CA"/>
        </w:rPr>
        <w:t>l’importance de la question de recherche, la qualité de la méthode de recherche et l’influence réelle des travaux dans le domaine.</w:t>
      </w:r>
      <w:bookmarkEnd w:id="51"/>
      <w:r w:rsidRPr="00513FF0">
        <w:rPr>
          <w:lang w:val="fr-CA"/>
        </w:rPr>
        <w:t xml:space="preserve"> </w:t>
      </w:r>
      <w:bookmarkStart w:id="52" w:name="lt_pId100"/>
      <w:r w:rsidRPr="00513FF0">
        <w:rPr>
          <w:lang w:val="fr-CA"/>
        </w:rPr>
        <w:t>Se fier uniquement à des mesures comme le facteur d’impact ou le prestige de l’établissement peut conduire à négliger la valeur et les retombées réelles de la recherche.</w:t>
      </w:r>
      <w:bookmarkEnd w:id="52"/>
      <w:r w:rsidRPr="00513FF0">
        <w:rPr>
          <w:lang w:val="fr-CA"/>
        </w:rPr>
        <w:t xml:space="preserve"> </w:t>
      </w:r>
      <w:bookmarkStart w:id="53" w:name="lt_pId101"/>
      <w:r w:rsidRPr="00513FF0">
        <w:rPr>
          <w:lang w:val="fr-CA"/>
        </w:rPr>
        <w:t>Gardez à l’esprit la nature multidimensionnelle de l’évaluation de la recherche telle que préconisée par la DORA.</w:t>
      </w:r>
      <w:bookmarkEnd w:id="53"/>
      <w:r w:rsidR="00486B58" w:rsidRPr="00513FF0">
        <w:rPr>
          <w:lang w:val="fr-CA"/>
        </w:rPr>
        <w:t xml:space="preserve"> </w:t>
      </w:r>
      <w:r w:rsidRPr="00513FF0">
        <w:rPr>
          <w:lang w:val="fr-CA"/>
        </w:rPr>
        <w:t>Cliquez sur l’écran pour continuer.</w:t>
      </w:r>
    </w:p>
    <w:p w14:paraId="5EED59E5" w14:textId="60EBEABE" w:rsidR="002D3055" w:rsidRPr="00513FF0" w:rsidRDefault="002D3055" w:rsidP="00486B58">
      <w:pPr>
        <w:pStyle w:val="Heading1"/>
        <w:rPr>
          <w:lang w:val="fr-CA"/>
        </w:rPr>
      </w:pPr>
      <w:bookmarkStart w:id="54" w:name="lt_pId106"/>
      <w:r w:rsidRPr="00513FF0">
        <w:rPr>
          <w:lang w:val="fr-CA"/>
        </w:rPr>
        <w:t>Thème et méthode de recherche</w:t>
      </w:r>
      <w:bookmarkEnd w:id="54"/>
      <w:r w:rsidR="00486B58" w:rsidRPr="00513FF0">
        <w:rPr>
          <w:lang w:val="fr-CA"/>
        </w:rPr>
        <w:t xml:space="preserve"> 1</w:t>
      </w:r>
    </w:p>
    <w:p w14:paraId="529E9323" w14:textId="77777777" w:rsidR="002D3055" w:rsidRPr="00513FF0" w:rsidRDefault="002D3055" w:rsidP="00E174E6">
      <w:pPr>
        <w:rPr>
          <w:b/>
          <w:bCs/>
          <w:lang w:val="fr-CA"/>
        </w:rPr>
      </w:pPr>
      <w:r w:rsidRPr="00513FF0">
        <w:rPr>
          <w:lang w:val="fr-CA"/>
        </w:rPr>
        <w:t>Les évaluateurs peuvent émettre des doutes sur les projets dont les thèmes, les groupes cibles ou les méthodes leur sont peu familiers. Ils préfèrent souvent les thèmes familiers et peuvent inconsciemment se méfier des idée</w:t>
      </w:r>
      <w:bookmarkStart w:id="55" w:name="lt_pId108"/>
      <w:r w:rsidRPr="00513FF0">
        <w:rPr>
          <w:lang w:val="fr-CA"/>
        </w:rPr>
        <w:t>s nouvelles.</w:t>
      </w:r>
      <w:bookmarkEnd w:id="55"/>
      <w:r w:rsidRPr="00513FF0">
        <w:rPr>
          <w:lang w:val="fr-CA"/>
        </w:rPr>
        <w:t xml:space="preserve"> </w:t>
      </w:r>
    </w:p>
    <w:p w14:paraId="287F839A" w14:textId="2CD06A83" w:rsidR="002D3055" w:rsidRPr="00513FF0" w:rsidRDefault="002D3055" w:rsidP="00486B58">
      <w:pPr>
        <w:pStyle w:val="Heading1"/>
        <w:rPr>
          <w:lang w:val="fr-CA"/>
        </w:rPr>
      </w:pPr>
      <w:bookmarkStart w:id="56" w:name="lt_pId110"/>
      <w:r w:rsidRPr="00513FF0">
        <w:rPr>
          <w:lang w:val="fr-CA"/>
        </w:rPr>
        <w:t>Thème et méthode de recherche</w:t>
      </w:r>
      <w:bookmarkEnd w:id="56"/>
      <w:r w:rsidR="00486B58" w:rsidRPr="00513FF0">
        <w:rPr>
          <w:lang w:val="fr-CA"/>
        </w:rPr>
        <w:t xml:space="preserve"> 2</w:t>
      </w:r>
    </w:p>
    <w:p w14:paraId="76E7DF75" w14:textId="3CD04613" w:rsidR="002D3055" w:rsidRPr="00513FF0" w:rsidRDefault="002D3055" w:rsidP="00E174E6">
      <w:pPr>
        <w:rPr>
          <w:b/>
          <w:bCs/>
          <w:lang w:val="fr-CA"/>
        </w:rPr>
      </w:pPr>
      <w:bookmarkStart w:id="57" w:name="lt_pId111"/>
      <w:r w:rsidRPr="00513FF0">
        <w:rPr>
          <w:lang w:val="fr-CA"/>
        </w:rPr>
        <w:t>Par exemple, une étude impliquant des personnes atteintes de troubles cognitifs dans la collecte de données pourrait être rejetée parce que les évaluateurs remettent en question la capacité de ces personnes à recueillir des données et, par conséquent, le potentiel de l’étude.</w:t>
      </w:r>
      <w:bookmarkEnd w:id="57"/>
      <w:r w:rsidRPr="00513FF0">
        <w:rPr>
          <w:lang w:val="fr-CA"/>
        </w:rPr>
        <w:t xml:space="preserve"> </w:t>
      </w:r>
      <w:bookmarkStart w:id="58" w:name="lt_pId112"/>
      <w:r w:rsidRPr="00513FF0">
        <w:rPr>
          <w:lang w:val="fr-CA"/>
        </w:rPr>
        <w:t xml:space="preserve">Il s’agit là d’un cas évident </w:t>
      </w:r>
      <w:r w:rsidR="00EF64A1" w:rsidRPr="00513FF0">
        <w:rPr>
          <w:lang w:val="fr-CA"/>
        </w:rPr>
        <w:t xml:space="preserve">de </w:t>
      </w:r>
      <w:hyperlink r:id="rId13" w:anchor="a5" w:history="1">
        <w:r w:rsidR="00EF64A1" w:rsidRPr="00513FF0">
          <w:rPr>
            <w:rStyle w:val="Hyperlink"/>
            <w:lang w:val="fr-CA"/>
          </w:rPr>
          <w:t>capacitisme</w:t>
        </w:r>
      </w:hyperlink>
      <w:r w:rsidR="00EF64A1" w:rsidRPr="00513FF0">
        <w:rPr>
          <w:lang w:val="fr-CA"/>
        </w:rPr>
        <w:t xml:space="preserve"> ainsi que de préjugés liés à la méthode et aux </w:t>
      </w:r>
      <w:hyperlink r:id="rId14" w:anchor="a48" w:history="1">
        <w:r w:rsidR="00EF64A1" w:rsidRPr="00513FF0">
          <w:rPr>
            <w:rStyle w:val="Hyperlink"/>
            <w:lang w:val="fr-CA"/>
          </w:rPr>
          <w:t>utilisateurs de la recherche</w:t>
        </w:r>
      </w:hyperlink>
      <w:r w:rsidR="00EF64A1" w:rsidRPr="00513FF0">
        <w:rPr>
          <w:lang w:val="fr-CA"/>
        </w:rPr>
        <w:t>.</w:t>
      </w:r>
      <w:bookmarkEnd w:id="58"/>
      <w:r w:rsidRPr="00513FF0">
        <w:rPr>
          <w:lang w:val="fr-CA"/>
        </w:rPr>
        <w:t xml:space="preserve">  </w:t>
      </w:r>
    </w:p>
    <w:p w14:paraId="38FA914D" w14:textId="11649055" w:rsidR="00486B58" w:rsidRPr="00513FF0" w:rsidRDefault="00486B58" w:rsidP="00486B58">
      <w:pPr>
        <w:pStyle w:val="Heading1"/>
        <w:rPr>
          <w:lang w:val="fr-CA"/>
        </w:rPr>
      </w:pPr>
      <w:r w:rsidRPr="00513FF0">
        <w:rPr>
          <w:lang w:val="fr-CA"/>
        </w:rPr>
        <w:t>Thème et méthode de recherche 3</w:t>
      </w:r>
    </w:p>
    <w:p w14:paraId="3249C1C8" w14:textId="5493D87C" w:rsidR="002D3055" w:rsidRPr="00513FF0" w:rsidRDefault="002D3055" w:rsidP="00E174E6">
      <w:pPr>
        <w:rPr>
          <w:lang w:val="fr-CA"/>
        </w:rPr>
      </w:pPr>
      <w:r w:rsidRPr="00513FF0">
        <w:rPr>
          <w:lang w:val="fr-CA"/>
        </w:rPr>
        <w:t>Ce type de préjugés entraîne souvent le rejet injustifié des travaux de chercheurs issus de milieux racisés.</w:t>
      </w:r>
      <w:r w:rsidR="00486B58" w:rsidRPr="00513FF0">
        <w:rPr>
          <w:lang w:val="fr-CA"/>
        </w:rPr>
        <w:t xml:space="preserve"> </w:t>
      </w:r>
      <w:r w:rsidRPr="00513FF0">
        <w:rPr>
          <w:lang w:val="fr-CA"/>
        </w:rPr>
        <w:t>Ces chercheurs ont tendance à aborder des thèmes nouveaux impliquant des dynamiques ou des sujets humains.</w:t>
      </w:r>
      <w:r w:rsidR="00486B58" w:rsidRPr="00513FF0">
        <w:rPr>
          <w:lang w:val="fr-CA"/>
        </w:rPr>
        <w:t xml:space="preserve"> </w:t>
      </w:r>
      <w:r w:rsidRPr="00513FF0">
        <w:rPr>
          <w:lang w:val="fr-CA"/>
        </w:rPr>
        <w:t>Ils travaillent également souvent avec des groupes racisés et peuvent utiliser des cadres théoriques, comme la théorie critique de la race ou la théorie postcoloniale, que les évaluateurs ayant évolué dans d’autres domaines ne connaissent pas forcément</w:t>
      </w:r>
      <w:bookmarkStart w:id="59" w:name="lt_pId121"/>
      <w:r w:rsidRPr="00513FF0">
        <w:rPr>
          <w:lang w:val="fr-CA"/>
        </w:rPr>
        <w:t>.</w:t>
      </w:r>
      <w:bookmarkEnd w:id="59"/>
      <w:r w:rsidR="00525CB5" w:rsidRPr="00513FF0">
        <w:rPr>
          <w:lang w:val="fr-CA"/>
        </w:rPr>
        <w:t xml:space="preserve"> </w:t>
      </w:r>
    </w:p>
    <w:p w14:paraId="529BF21E" w14:textId="7B5DF32C" w:rsidR="002D3055" w:rsidRPr="00513FF0" w:rsidRDefault="002D3055" w:rsidP="00525CB5">
      <w:pPr>
        <w:pStyle w:val="Heading1"/>
        <w:rPr>
          <w:lang w:val="fr-CA"/>
        </w:rPr>
      </w:pPr>
      <w:bookmarkStart w:id="60" w:name="lt_pId123"/>
      <w:r w:rsidRPr="00513FF0">
        <w:rPr>
          <w:lang w:val="fr-CA"/>
        </w:rPr>
        <w:lastRenderedPageBreak/>
        <w:t>Préjugés liés aux systèmes de connaissances et façons de faire</w:t>
      </w:r>
      <w:bookmarkEnd w:id="60"/>
      <w:r w:rsidR="00525CB5" w:rsidRPr="00513FF0">
        <w:rPr>
          <w:lang w:val="fr-CA"/>
        </w:rPr>
        <w:t xml:space="preserve"> 1</w:t>
      </w:r>
    </w:p>
    <w:p w14:paraId="4E5C604C" w14:textId="1702274F" w:rsidR="002D3055" w:rsidRPr="00513FF0" w:rsidRDefault="002D3055" w:rsidP="00E174E6">
      <w:pPr>
        <w:rPr>
          <w:b/>
          <w:bCs/>
          <w:lang w:val="fr-CA"/>
        </w:rPr>
      </w:pPr>
      <w:r w:rsidRPr="00513FF0">
        <w:rPr>
          <w:rFonts w:eastAsia="Calibri" w:cs="Calibri"/>
          <w:color w:val="000000" w:themeColor="text1"/>
          <w:lang w:val="fr-CA"/>
        </w:rPr>
        <w:t>Les Autochtones (Premières Nations, Inuits et Métis) ont des cultures, des histoires et des priorités qui leur sont propres. Ils utilisent souvent des méthodes uniques et non occidentales pour acquérir et transmettre le savoir (les connaissances). Ces méthodes varient selon leur contexte, leur emplacement géographique et leurs objectifs</w:t>
      </w:r>
      <w:bookmarkStart w:id="61" w:name="lt_pId125"/>
      <w:r w:rsidRPr="00513FF0">
        <w:rPr>
          <w:rFonts w:eastAsia="Calibri" w:cs="Calibri"/>
          <w:color w:val="000000" w:themeColor="text1"/>
          <w:lang w:val="fr-CA"/>
        </w:rPr>
        <w:t>.</w:t>
      </w:r>
      <w:bookmarkEnd w:id="61"/>
      <w:r w:rsidRPr="00513FF0">
        <w:rPr>
          <w:rFonts w:eastAsia="Calibri" w:cs="Calibri"/>
          <w:color w:val="000000" w:themeColor="text1"/>
          <w:lang w:val="fr-CA"/>
        </w:rPr>
        <w:t xml:space="preserve"> </w:t>
      </w:r>
      <w:bookmarkStart w:id="62" w:name="lt_pId126"/>
      <w:r w:rsidRPr="00513FF0">
        <w:rPr>
          <w:rFonts w:eastAsia="Calibri" w:cs="Calibri"/>
          <w:color w:val="000000" w:themeColor="text1"/>
          <w:lang w:val="fr-CA"/>
        </w:rPr>
        <w:t xml:space="preserve">Les chercheurs qui travaillent avec les peuples et les communautés autochtones reconnaissent la nécessité de tenir compte de ces distinctions et de </w:t>
      </w:r>
      <w:r w:rsidR="005A3741" w:rsidRPr="00513FF0">
        <w:rPr>
          <w:rFonts w:eastAsia="Calibri" w:cs="Calibri"/>
          <w:color w:val="000000" w:themeColor="text1"/>
          <w:lang w:val="fr-CA"/>
        </w:rPr>
        <w:t xml:space="preserve">la </w:t>
      </w:r>
      <w:hyperlink r:id="rId15" w:anchor="a8" w:history="1">
        <w:r w:rsidR="005A3741" w:rsidRPr="00513FF0">
          <w:rPr>
            <w:rStyle w:val="Hyperlink"/>
            <w:rFonts w:eastAsia="Calibri" w:cs="Calibri"/>
            <w:lang w:val="fr-CA"/>
          </w:rPr>
          <w:t>diversité</w:t>
        </w:r>
      </w:hyperlink>
      <w:r w:rsidR="005A3741" w:rsidRPr="00513FF0">
        <w:rPr>
          <w:rFonts w:eastAsia="Calibri" w:cs="Calibri"/>
          <w:color w:val="000000" w:themeColor="text1"/>
          <w:lang w:val="fr-CA"/>
        </w:rPr>
        <w:t xml:space="preserve"> qui </w:t>
      </w:r>
      <w:r w:rsidRPr="00513FF0">
        <w:rPr>
          <w:rFonts w:eastAsia="Calibri" w:cs="Calibri"/>
          <w:color w:val="000000" w:themeColor="text1"/>
          <w:lang w:val="fr-CA"/>
        </w:rPr>
        <w:t>existe entre les communautés autochtones et au sein même de celles-ci.</w:t>
      </w:r>
      <w:bookmarkEnd w:id="62"/>
      <w:r w:rsidRPr="00513FF0">
        <w:rPr>
          <w:rFonts w:eastAsia="Calibri" w:cs="Calibri"/>
          <w:color w:val="000000" w:themeColor="text1"/>
          <w:lang w:val="fr-CA"/>
        </w:rPr>
        <w:t> </w:t>
      </w:r>
      <w:bookmarkStart w:id="63" w:name="lt_pId127"/>
      <w:r w:rsidRPr="00513FF0">
        <w:rPr>
          <w:rFonts w:eastAsia="Calibri" w:cs="Calibri"/>
          <w:color w:val="000000" w:themeColor="text1"/>
          <w:lang w:val="fr-CA"/>
        </w:rPr>
        <w:t>Ils ont mis au point des méthodes de recherche fondées sur des idéologies autochtones telles que la parenté et la connectivité, ainsi que sur les connaissances traditionnelles, au profit de leurs communautés.</w:t>
      </w:r>
      <w:bookmarkEnd w:id="63"/>
      <w:r w:rsidRPr="00513FF0">
        <w:rPr>
          <w:rFonts w:eastAsia="Calibri" w:cs="Calibri"/>
          <w:color w:val="000000" w:themeColor="text1"/>
          <w:lang w:val="fr-CA"/>
        </w:rPr>
        <w:t xml:space="preserve"> </w:t>
      </w:r>
    </w:p>
    <w:p w14:paraId="48E7174E" w14:textId="45D2072A" w:rsidR="002D3055" w:rsidRPr="00513FF0" w:rsidRDefault="002D3055" w:rsidP="00525CB5">
      <w:pPr>
        <w:pStyle w:val="Heading1"/>
        <w:rPr>
          <w:lang w:val="fr-CA"/>
        </w:rPr>
      </w:pPr>
      <w:bookmarkStart w:id="64" w:name="lt_pId129"/>
      <w:r w:rsidRPr="00513FF0">
        <w:rPr>
          <w:lang w:val="fr-CA"/>
        </w:rPr>
        <w:t>Préjugés liés aux systèmes de connaissances et façons de faire</w:t>
      </w:r>
      <w:bookmarkEnd w:id="64"/>
      <w:r w:rsidR="00525CB5" w:rsidRPr="00513FF0">
        <w:rPr>
          <w:lang w:val="fr-CA"/>
        </w:rPr>
        <w:t xml:space="preserve"> 2</w:t>
      </w:r>
    </w:p>
    <w:p w14:paraId="6D09F638" w14:textId="035E5847" w:rsidR="002D3055" w:rsidRPr="00513FF0" w:rsidRDefault="00244EAD" w:rsidP="00E174E6">
      <w:pPr>
        <w:rPr>
          <w:b/>
          <w:bCs/>
          <w:lang w:val="fr-CA"/>
        </w:rPr>
      </w:pPr>
      <w:bookmarkStart w:id="65" w:name="lt_pId130"/>
      <w:r w:rsidRPr="00513FF0">
        <w:rPr>
          <w:rFonts w:eastAsia="Calibri" w:cs="Calibri"/>
          <w:color w:val="000000" w:themeColor="text1"/>
          <w:lang w:val="fr-CA"/>
        </w:rPr>
        <w:t>L</w:t>
      </w:r>
      <w:r>
        <w:rPr>
          <w:rFonts w:eastAsia="Calibri" w:cs="Calibri"/>
          <w:color w:val="000000" w:themeColor="text1"/>
          <w:lang w:val="fr-CA"/>
        </w:rPr>
        <w:t>a</w:t>
      </w:r>
      <w:r w:rsidRPr="00513FF0">
        <w:rPr>
          <w:rFonts w:eastAsia="Calibri" w:cs="Calibri"/>
          <w:color w:val="000000" w:themeColor="text1"/>
          <w:lang w:val="fr-CA"/>
        </w:rPr>
        <w:t xml:space="preserve"> </w:t>
      </w:r>
      <w:r w:rsidR="002D3055" w:rsidRPr="00513FF0">
        <w:rPr>
          <w:rFonts w:eastAsia="Calibri" w:cs="Calibri"/>
          <w:color w:val="000000" w:themeColor="text1"/>
          <w:lang w:val="fr-CA"/>
        </w:rPr>
        <w:t>recherche occidentale</w:t>
      </w:r>
      <w:bookmarkStart w:id="66" w:name="lt_pId131"/>
      <w:bookmarkEnd w:id="65"/>
      <w:r w:rsidR="002D3055" w:rsidRPr="00513FF0">
        <w:rPr>
          <w:rFonts w:eastAsia="Calibri" w:cs="Calibri"/>
          <w:color w:val="000000" w:themeColor="text1"/>
          <w:lang w:val="fr-CA"/>
        </w:rPr>
        <w:t xml:space="preserve"> est souvent considérée comme la norme par excellence pour définir l’excellence en recherche,</w:t>
      </w:r>
      <w:bookmarkEnd w:id="66"/>
      <w:r w:rsidR="002D3055" w:rsidRPr="00513FF0">
        <w:rPr>
          <w:rFonts w:eastAsia="Calibri" w:cs="Calibri"/>
          <w:color w:val="000000" w:themeColor="text1"/>
          <w:lang w:val="fr-CA"/>
        </w:rPr>
        <w:t xml:space="preserve"> et les chercheurs autochtones se heurtent à des obstacles lorsque les pairs évaluateurs sous-estiment leurs méthodes et attendent d’eux qu’ils citent des sources non autochtones ou qu’ils transposent les connaissances orales sous forme écrite. </w:t>
      </w:r>
    </w:p>
    <w:p w14:paraId="3237A254" w14:textId="23B8CFB2" w:rsidR="002D3055" w:rsidRPr="00513FF0" w:rsidRDefault="002D3055" w:rsidP="00525CB5">
      <w:pPr>
        <w:pStyle w:val="Heading1"/>
        <w:rPr>
          <w:lang w:val="fr-CA"/>
        </w:rPr>
      </w:pPr>
      <w:bookmarkStart w:id="67" w:name="lt_pId134"/>
      <w:r w:rsidRPr="00513FF0">
        <w:rPr>
          <w:lang w:val="fr-CA"/>
        </w:rPr>
        <w:t>Préjugés liés aux systèmes de connaissances et façons de faire</w:t>
      </w:r>
      <w:bookmarkEnd w:id="67"/>
      <w:r w:rsidR="00525CB5" w:rsidRPr="00513FF0">
        <w:rPr>
          <w:lang w:val="fr-CA"/>
        </w:rPr>
        <w:t xml:space="preserve"> 3</w:t>
      </w:r>
    </w:p>
    <w:p w14:paraId="1B5B3E38" w14:textId="77777777" w:rsidR="002D3055" w:rsidRPr="00513FF0" w:rsidRDefault="002D3055" w:rsidP="00E174E6">
      <w:pPr>
        <w:rPr>
          <w:b/>
          <w:bCs/>
          <w:lang w:val="fr-CA"/>
        </w:rPr>
      </w:pPr>
      <w:bookmarkStart w:id="68" w:name="lt_pId135"/>
      <w:r w:rsidRPr="00513FF0">
        <w:rPr>
          <w:rFonts w:eastAsia="Calibri" w:cs="Calibri"/>
          <w:color w:val="000000" w:themeColor="text1"/>
          <w:lang w:val="fr-CA"/>
        </w:rPr>
        <w:t>Par exemple, la méthode d’analyse privilégiée par un chercheur autochtone pourrait être de « laisser les histoires parler d’elles-mêmes », son moyen d’acquérir les connaissances, c’est-à-dire sa collecte de données, pourrait prendre la forme de rassemblements sur le territoire ancestral, et il pourrait aussi donner la priorité à la « transmission des connaissances » plutôt qu’à la mobilisation de celles-ci.</w:t>
      </w:r>
      <w:bookmarkEnd w:id="68"/>
      <w:r w:rsidRPr="00513FF0">
        <w:rPr>
          <w:rFonts w:eastAsia="Calibri" w:cs="Calibri"/>
          <w:color w:val="000000" w:themeColor="text1"/>
          <w:lang w:val="fr-CA"/>
        </w:rPr>
        <w:t xml:space="preserve"> </w:t>
      </w:r>
    </w:p>
    <w:p w14:paraId="166EABAF" w14:textId="3361160A" w:rsidR="002D3055" w:rsidRPr="00513FF0" w:rsidRDefault="002D3055" w:rsidP="00525CB5">
      <w:pPr>
        <w:pStyle w:val="Heading1"/>
        <w:rPr>
          <w:lang w:val="fr-CA"/>
        </w:rPr>
      </w:pPr>
      <w:bookmarkStart w:id="69" w:name="lt_pId137"/>
      <w:r w:rsidRPr="00513FF0">
        <w:rPr>
          <w:lang w:val="fr-CA"/>
        </w:rPr>
        <w:t>Préjugés liés aux systèmes de connaissances et façons de faire</w:t>
      </w:r>
      <w:bookmarkEnd w:id="69"/>
      <w:r w:rsidR="00525CB5" w:rsidRPr="00513FF0">
        <w:rPr>
          <w:lang w:val="fr-CA"/>
        </w:rPr>
        <w:t xml:space="preserve"> 4</w:t>
      </w:r>
    </w:p>
    <w:p w14:paraId="2EBD1B09" w14:textId="2CC115C6" w:rsidR="002D3055" w:rsidRPr="00513FF0" w:rsidRDefault="002D3055" w:rsidP="00E174E6">
      <w:pPr>
        <w:rPr>
          <w:b/>
          <w:bCs/>
          <w:lang w:val="fr-CA"/>
        </w:rPr>
      </w:pPr>
      <w:bookmarkStart w:id="70" w:name="lt_pId138"/>
      <w:r w:rsidRPr="00513FF0">
        <w:rPr>
          <w:rFonts w:eastAsia="Calibri" w:cs="Calibri"/>
          <w:color w:val="000000" w:themeColor="text1"/>
          <w:lang w:val="fr-CA"/>
        </w:rPr>
        <w:t>Si de telles méthodes ne correspondent pas aux idées occidentales de rigueur et de rationalité</w:t>
      </w:r>
      <w:r w:rsidR="002D3C43">
        <w:rPr>
          <w:rFonts w:eastAsia="Calibri" w:cs="Calibri"/>
          <w:color w:val="000000" w:themeColor="text1"/>
          <w:lang w:val="fr-CA"/>
        </w:rPr>
        <w:t xml:space="preserve"> </w:t>
      </w:r>
      <w:r w:rsidRPr="00513FF0">
        <w:rPr>
          <w:rFonts w:eastAsia="Calibri" w:cs="Calibri"/>
          <w:color w:val="000000" w:themeColor="text1"/>
          <w:lang w:val="fr-CA"/>
        </w:rPr>
        <w:t>, elles n’en sont pas moins des méthodes scientifiques tout aussi valables.</w:t>
      </w:r>
      <w:bookmarkEnd w:id="70"/>
    </w:p>
    <w:p w14:paraId="27C30688" w14:textId="77777777" w:rsidR="002D3055" w:rsidRPr="00513FF0" w:rsidRDefault="002D3055" w:rsidP="00525CB5">
      <w:pPr>
        <w:pStyle w:val="Heading1"/>
        <w:rPr>
          <w:lang w:val="fr-CA"/>
        </w:rPr>
      </w:pPr>
      <w:bookmarkStart w:id="71" w:name="lt_pId140"/>
      <w:r w:rsidRPr="00513FF0">
        <w:rPr>
          <w:lang w:val="fr-CA"/>
        </w:rPr>
        <w:t>Agir contre les préjugés anti-Autochtones</w:t>
      </w:r>
      <w:bookmarkEnd w:id="71"/>
    </w:p>
    <w:p w14:paraId="7FDE5636" w14:textId="1DD61FFA" w:rsidR="002D3055" w:rsidRPr="00513FF0" w:rsidRDefault="002D3055" w:rsidP="00E174E6">
      <w:pPr>
        <w:rPr>
          <w:b/>
          <w:bCs/>
          <w:lang w:val="fr-CA"/>
        </w:rPr>
      </w:pPr>
      <w:bookmarkStart w:id="72" w:name="lt_pId141"/>
      <w:r w:rsidRPr="00513FF0">
        <w:rPr>
          <w:lang w:val="fr-CA"/>
        </w:rPr>
        <w:t xml:space="preserve">Pour lutter contre les </w:t>
      </w:r>
      <w:r w:rsidR="000E4922" w:rsidRPr="00513FF0">
        <w:rPr>
          <w:lang w:val="fr-CA"/>
        </w:rPr>
        <w:t xml:space="preserve">préjugés </w:t>
      </w:r>
      <w:hyperlink r:id="rId16" w:anchor="a42" w:history="1">
        <w:r w:rsidR="000E4922" w:rsidRPr="00513FF0">
          <w:rPr>
            <w:rStyle w:val="Hyperlink"/>
            <w:lang w:val="fr-CA"/>
          </w:rPr>
          <w:t>anti-Autochtones</w:t>
        </w:r>
      </w:hyperlink>
      <w:r w:rsidRPr="00513FF0">
        <w:rPr>
          <w:lang w:val="fr-CA"/>
        </w:rPr>
        <w:t xml:space="preserve">, nous devons reconnaître l’importance de l’autodétermination et de l’autonomie administrative des Autochtones dans la recherche, des systèmes de connaissances et façons de faire autochtones ainsi que des normes d’éthique de la </w:t>
      </w:r>
      <w:r w:rsidRPr="00513FF0">
        <w:rPr>
          <w:lang w:val="fr-CA"/>
        </w:rPr>
        <w:lastRenderedPageBreak/>
        <w:t>recherche autochtone, et veiller à ce que les candidats autochtones ne se butent à aucune barrière systémique dans le processus d’évaluation par les pairs.</w:t>
      </w:r>
      <w:bookmarkEnd w:id="72"/>
    </w:p>
    <w:p w14:paraId="16813F81" w14:textId="3256C911" w:rsidR="00030758" w:rsidRPr="00513FF0" w:rsidRDefault="00030758" w:rsidP="00030758">
      <w:pPr>
        <w:pStyle w:val="Heading1"/>
        <w:rPr>
          <w:lang w:val="fr-CA"/>
        </w:rPr>
      </w:pPr>
      <w:bookmarkStart w:id="73" w:name="lt_pId143"/>
      <w:r w:rsidRPr="00513FF0">
        <w:rPr>
          <w:lang w:val="fr-CA"/>
        </w:rPr>
        <w:t xml:space="preserve">Choix </w:t>
      </w:r>
      <w:r w:rsidR="00583CDA">
        <w:rPr>
          <w:lang w:val="fr-CA"/>
        </w:rPr>
        <w:t>m</w:t>
      </w:r>
      <w:r w:rsidR="00583CDA" w:rsidRPr="00513FF0">
        <w:rPr>
          <w:lang w:val="fr-CA"/>
        </w:rPr>
        <w:t xml:space="preserve">ultiple </w:t>
      </w:r>
      <w:r w:rsidRPr="00513FF0">
        <w:rPr>
          <w:lang w:val="fr-CA"/>
        </w:rPr>
        <w:t>2</w:t>
      </w:r>
    </w:p>
    <w:p w14:paraId="0F9E4869" w14:textId="493878DB" w:rsidR="002D3055" w:rsidRPr="00513FF0" w:rsidRDefault="002D3055" w:rsidP="00E174E6">
      <w:pPr>
        <w:rPr>
          <w:lang w:val="fr-CA"/>
        </w:rPr>
      </w:pPr>
      <w:r w:rsidRPr="00513FF0">
        <w:rPr>
          <w:lang w:val="fr-CA"/>
        </w:rPr>
        <w:t>Lorsqu’on évalue des travaux impliquant des chercheurs ou des communautés autochtones, quelle position est-il essentiel d’adopter pour garantir le respect et la prise en compte de la diversité des systèmes de connaissances?</w:t>
      </w:r>
      <w:bookmarkEnd w:id="73"/>
    </w:p>
    <w:p w14:paraId="464CA21C" w14:textId="77777777" w:rsidR="002D3055" w:rsidRPr="00513FF0" w:rsidRDefault="002D3055" w:rsidP="002D3055">
      <w:pPr>
        <w:pStyle w:val="ListParagraph"/>
        <w:numPr>
          <w:ilvl w:val="0"/>
          <w:numId w:val="25"/>
        </w:numPr>
        <w:spacing w:before="240" w:after="120"/>
        <w:rPr>
          <w:lang w:val="fr-CA"/>
        </w:rPr>
      </w:pPr>
      <w:bookmarkStart w:id="74" w:name="lt_pId144"/>
      <w:r w:rsidRPr="00513FF0">
        <w:rPr>
          <w:lang w:val="fr-CA"/>
        </w:rPr>
        <w:t>Utiliser des critères d’évaluation occidentaux afin de garantir la cohérence des normes d’évaluation par les pairs.</w:t>
      </w:r>
      <w:bookmarkEnd w:id="74"/>
    </w:p>
    <w:p w14:paraId="04F3EE55" w14:textId="77777777" w:rsidR="002D3055" w:rsidRPr="00513FF0" w:rsidRDefault="002D3055" w:rsidP="002D3055">
      <w:pPr>
        <w:pStyle w:val="ListParagraph"/>
        <w:numPr>
          <w:ilvl w:val="0"/>
          <w:numId w:val="25"/>
        </w:numPr>
        <w:spacing w:before="240" w:after="120"/>
        <w:rPr>
          <w:lang w:val="fr-CA"/>
        </w:rPr>
      </w:pPr>
      <w:bookmarkStart w:id="75" w:name="lt_pId145"/>
      <w:r w:rsidRPr="00513FF0">
        <w:rPr>
          <w:lang w:val="fr-CA"/>
        </w:rPr>
        <w:t>Reconnaître les cultures et les priorités ainsi que le passé et les intérêts distincts des Premières Nations, des Inuits et des Métis, notamment leurs droits, lois et gouvernements uniques.</w:t>
      </w:r>
      <w:bookmarkEnd w:id="75"/>
      <w:r w:rsidRPr="00513FF0">
        <w:rPr>
          <w:lang w:val="fr-CA"/>
        </w:rPr>
        <w:t xml:space="preserve"> </w:t>
      </w:r>
    </w:p>
    <w:p w14:paraId="1D0AE469" w14:textId="77777777" w:rsidR="002D3055" w:rsidRPr="00513FF0" w:rsidRDefault="002D3055" w:rsidP="002D3055">
      <w:pPr>
        <w:pStyle w:val="ListParagraph"/>
        <w:numPr>
          <w:ilvl w:val="0"/>
          <w:numId w:val="25"/>
        </w:numPr>
        <w:spacing w:before="240" w:after="120"/>
        <w:rPr>
          <w:lang w:val="fr-CA"/>
        </w:rPr>
      </w:pPr>
      <w:bookmarkStart w:id="76" w:name="lt_pId146"/>
      <w:r w:rsidRPr="00513FF0">
        <w:rPr>
          <w:lang w:val="fr-CA"/>
        </w:rPr>
        <w:t>Insister sur la nécessité pour les chercheurs autochtones de se conformer aux paradigmes scientifiques établis afin de démontrer leur crédibilité.</w:t>
      </w:r>
      <w:bookmarkEnd w:id="76"/>
    </w:p>
    <w:p w14:paraId="45E94618" w14:textId="77777777" w:rsidR="002D3055" w:rsidRPr="00513FF0" w:rsidRDefault="002D3055" w:rsidP="002D3055">
      <w:pPr>
        <w:pStyle w:val="ListParagraph"/>
        <w:numPr>
          <w:ilvl w:val="0"/>
          <w:numId w:val="25"/>
        </w:numPr>
        <w:spacing w:before="240" w:after="120"/>
        <w:rPr>
          <w:lang w:val="fr-CA"/>
        </w:rPr>
      </w:pPr>
      <w:bookmarkStart w:id="77" w:name="lt_pId147"/>
      <w:r w:rsidRPr="00513FF0">
        <w:rPr>
          <w:lang w:val="fr-CA"/>
        </w:rPr>
        <w:t>S’attendre à ce que des études menées par des chercheurs non autochtones soient incluses dans la proposition de recherche afin de montrer l’objectivité de cette dernière.</w:t>
      </w:r>
      <w:bookmarkEnd w:id="77"/>
    </w:p>
    <w:p w14:paraId="2132D82B" w14:textId="77777777" w:rsidR="002D3055" w:rsidRPr="00513FF0" w:rsidRDefault="002D3055" w:rsidP="00E174E6">
      <w:pPr>
        <w:rPr>
          <w:lang w:val="fr-CA"/>
        </w:rPr>
      </w:pPr>
      <w:bookmarkStart w:id="78" w:name="lt_pId148"/>
      <w:r w:rsidRPr="00513FF0">
        <w:rPr>
          <w:lang w:val="fr-CA"/>
        </w:rPr>
        <w:t>---</w:t>
      </w:r>
      <w:bookmarkEnd w:id="78"/>
    </w:p>
    <w:p w14:paraId="0D731C66" w14:textId="30CC8CD2" w:rsidR="002D3055" w:rsidRPr="00513FF0" w:rsidRDefault="002D3055" w:rsidP="00E174E6">
      <w:pPr>
        <w:rPr>
          <w:lang w:val="fr-CA"/>
        </w:rPr>
      </w:pPr>
      <w:bookmarkStart w:id="79" w:name="lt_pId149"/>
      <w:r w:rsidRPr="00513FF0">
        <w:rPr>
          <w:lang w:val="fr-CA"/>
        </w:rPr>
        <w:t>La bonne réponse est b). Cette réponse souligne l’importance de respecter et de valoriser la diversité des perspectives et des systèmes de connaissances autochtones, ce qui contribue à promouvoir l’inclusion et l’équité dans le processus d’évaluation par les pairs.</w:t>
      </w:r>
      <w:bookmarkEnd w:id="79"/>
      <w:r w:rsidR="00030758" w:rsidRPr="00513FF0">
        <w:rPr>
          <w:lang w:val="fr-CA"/>
        </w:rPr>
        <w:t xml:space="preserve"> </w:t>
      </w:r>
      <w:r w:rsidRPr="00513FF0">
        <w:rPr>
          <w:lang w:val="fr-CA"/>
        </w:rPr>
        <w:t>Cliquez sur l’écran pour continuer.</w:t>
      </w:r>
    </w:p>
    <w:p w14:paraId="057614EA" w14:textId="41F1CC52" w:rsidR="002D3055" w:rsidRPr="00513FF0" w:rsidRDefault="002D3055" w:rsidP="00E174E6">
      <w:pPr>
        <w:rPr>
          <w:lang w:val="fr-CA"/>
        </w:rPr>
      </w:pPr>
      <w:bookmarkStart w:id="80" w:name="lt_pId150"/>
      <w:r w:rsidRPr="00513FF0">
        <w:rPr>
          <w:lang w:val="fr-CA"/>
        </w:rPr>
        <w:t>Mauvaise réponse : Bien que votre réponse démontre une certaine compréhension de la complexité de l’évaluation de la recherche autochtone, il est important de reconnaître la nécessité d’adopter une perspective plus large pour favoriser l’inclusion et le respect de la diversité des systèmes de connaissances dans le processus d’évaluation par les pairs.</w:t>
      </w:r>
      <w:bookmarkEnd w:id="80"/>
      <w:r w:rsidRPr="00513FF0">
        <w:rPr>
          <w:lang w:val="fr-CA"/>
        </w:rPr>
        <w:t xml:space="preserve"> </w:t>
      </w:r>
      <w:bookmarkStart w:id="81" w:name="lt_pId151"/>
      <w:r w:rsidRPr="00513FF0">
        <w:rPr>
          <w:lang w:val="fr-CA"/>
        </w:rPr>
        <w:t>N’oubliez pas que pour bien prendre en considération les distinctions lorsque vous travaillez avec des partenaires autochtones (Premières Nations, Inuits ou Métis), il faut parfois adopter différentes approches.</w:t>
      </w:r>
      <w:bookmarkEnd w:id="81"/>
      <w:r w:rsidRPr="00513FF0">
        <w:rPr>
          <w:lang w:val="fr-CA"/>
        </w:rPr>
        <w:t xml:space="preserve"> </w:t>
      </w:r>
      <w:bookmarkStart w:id="82" w:name="lt_pId152"/>
      <w:r w:rsidRPr="00513FF0">
        <w:rPr>
          <w:lang w:val="fr-CA"/>
        </w:rPr>
        <w:t>S’ouvrir à la diversité des perspectives solidifie les communautés</w:t>
      </w:r>
      <w:r w:rsidR="002819EF">
        <w:rPr>
          <w:lang w:val="fr-CA"/>
        </w:rPr>
        <w:t xml:space="preserve"> </w:t>
      </w:r>
      <w:r w:rsidR="00EC09E4">
        <w:rPr>
          <w:lang w:val="fr-CA"/>
        </w:rPr>
        <w:t>de recherche</w:t>
      </w:r>
      <w:r w:rsidRPr="00513FF0">
        <w:rPr>
          <w:lang w:val="fr-CA"/>
        </w:rPr>
        <w:t xml:space="preserve"> et scientifique et leur caractère inclusif, ce qui favorise l’équité dans l’évaluation de la recherche.</w:t>
      </w:r>
      <w:bookmarkEnd w:id="82"/>
      <w:r w:rsidRPr="00513FF0">
        <w:rPr>
          <w:lang w:val="fr-CA"/>
        </w:rPr>
        <w:t xml:space="preserve"> Cliquez sur l’écran pour continuer.</w:t>
      </w:r>
    </w:p>
    <w:p w14:paraId="7AC0B880" w14:textId="77777777" w:rsidR="00DE1832" w:rsidRPr="00513FF0" w:rsidRDefault="00DE1832" w:rsidP="00DE1832">
      <w:pPr>
        <w:pStyle w:val="Heading1"/>
        <w:rPr>
          <w:lang w:val="fr-CA"/>
        </w:rPr>
      </w:pPr>
      <w:r w:rsidRPr="00513FF0">
        <w:rPr>
          <w:lang w:val="fr-CA"/>
        </w:rPr>
        <w:t>Objectif 2</w:t>
      </w:r>
    </w:p>
    <w:bookmarkStart w:id="83" w:name="lt_pId157"/>
    <w:p w14:paraId="3077A908" w14:textId="77777777" w:rsidR="009D77BF" w:rsidRPr="00513FF0" w:rsidRDefault="009D77BF" w:rsidP="009D77BF">
      <w:pPr>
        <w:rPr>
          <w:lang w:val="fr-CA"/>
        </w:rPr>
      </w:pPr>
      <w:r w:rsidRPr="00513FF0">
        <w:rPr>
          <w:lang w:val="fr-CA"/>
        </w:rPr>
        <w:fldChar w:fldCharType="begin"/>
      </w:r>
      <w:r w:rsidRPr="00513FF0">
        <w:rPr>
          <w:lang w:val="fr-CA"/>
        </w:rPr>
        <w:instrText>HYPERLINK "https://cihr-irsc.gc.ca/f/54486.html" \l "a9"</w:instrText>
      </w:r>
      <w:r w:rsidRPr="00513FF0">
        <w:rPr>
          <w:lang w:val="fr-CA"/>
        </w:rPr>
      </w:r>
      <w:r w:rsidRPr="00513FF0">
        <w:rPr>
          <w:lang w:val="fr-CA"/>
        </w:rPr>
        <w:fldChar w:fldCharType="separate"/>
      </w:r>
      <w:r w:rsidRPr="00513FF0">
        <w:rPr>
          <w:rStyle w:val="Hyperlink"/>
          <w:lang w:val="fr-CA"/>
        </w:rPr>
        <w:t>Références</w:t>
      </w:r>
      <w:r w:rsidRPr="00513FF0">
        <w:rPr>
          <w:lang w:val="fr-CA"/>
        </w:rPr>
        <w:fldChar w:fldCharType="end"/>
      </w:r>
      <w:bookmarkEnd w:id="83"/>
    </w:p>
    <w:p w14:paraId="29455CC8" w14:textId="46079DA7" w:rsidR="002D3055" w:rsidRPr="00513FF0" w:rsidRDefault="002D3055" w:rsidP="00E174E6">
      <w:pPr>
        <w:rPr>
          <w:lang w:val="fr-CA"/>
        </w:rPr>
      </w:pPr>
      <w:r w:rsidRPr="00513FF0">
        <w:rPr>
          <w:lang w:val="fr-CA"/>
        </w:rPr>
        <w:lastRenderedPageBreak/>
        <w:t>Moyens d’atténuer les préjugés</w:t>
      </w:r>
      <w:r w:rsidR="00DE1832" w:rsidRPr="00513FF0">
        <w:rPr>
          <w:lang w:val="fr-CA"/>
        </w:rPr>
        <w:t xml:space="preserve">. </w:t>
      </w:r>
      <w:r w:rsidRPr="00513FF0">
        <w:rPr>
          <w:lang w:val="fr-CA"/>
        </w:rPr>
        <w:t>La lutte contre les préjugés est un processus continu qui ne s’arrête pas après l’évaluation par les pairs.</w:t>
      </w:r>
      <w:r w:rsidR="00083086" w:rsidRPr="00513FF0">
        <w:rPr>
          <w:lang w:val="fr-CA"/>
        </w:rPr>
        <w:t xml:space="preserve"> </w:t>
      </w:r>
      <w:r w:rsidRPr="00513FF0">
        <w:rPr>
          <w:lang w:val="fr-CA"/>
        </w:rPr>
        <w:t>Nous devons d’abord reconnaître que nous avons tous des préjugés et que ceux-ci existent également dans les établissements de recherche, ce qui a une incidence sur la façon dont la recherche et ses retombées touchent la population canadienne.</w:t>
      </w:r>
      <w:r w:rsidR="00083086" w:rsidRPr="00513FF0">
        <w:rPr>
          <w:lang w:val="fr-CA"/>
        </w:rPr>
        <w:t xml:space="preserve"> </w:t>
      </w:r>
      <w:r w:rsidRPr="00513FF0">
        <w:rPr>
          <w:lang w:val="fr-CA"/>
        </w:rPr>
        <w:t>Ensuite, nous devons cerner et réduire nos propres préjugés par la réflexion et l’action. Les techniques suivantes aident à contrer les raccourcis et les suppositions qui pourraient influencer injustement le processus d’évaluation par les pairs</w:t>
      </w:r>
      <w:bookmarkStart w:id="84" w:name="lt_pId162"/>
      <w:r w:rsidRPr="00513FF0">
        <w:rPr>
          <w:rFonts w:cstheme="minorHAnsi"/>
          <w:lang w:val="fr-CA"/>
        </w:rPr>
        <w:t>.</w:t>
      </w:r>
      <w:bookmarkEnd w:id="84"/>
    </w:p>
    <w:p w14:paraId="6204C202" w14:textId="77777777" w:rsidR="00083086" w:rsidRPr="00513FF0" w:rsidRDefault="00083086" w:rsidP="00083086">
      <w:pPr>
        <w:pStyle w:val="Heading1"/>
        <w:rPr>
          <w:lang w:val="fr-CA"/>
        </w:rPr>
      </w:pPr>
      <w:bookmarkStart w:id="85" w:name="lt_pId164"/>
      <w:r w:rsidRPr="00513FF0">
        <w:rPr>
          <w:lang w:val="fr-CA"/>
        </w:rPr>
        <w:t>Reconnaître ses propres préjugés</w:t>
      </w:r>
    </w:p>
    <w:p w14:paraId="2FFB1156" w14:textId="7A7F37E2" w:rsidR="002D3055" w:rsidRPr="00513FF0" w:rsidRDefault="002D3055" w:rsidP="00E174E6">
      <w:pPr>
        <w:rPr>
          <w:b/>
          <w:bCs/>
          <w:lang w:val="fr-CA"/>
        </w:rPr>
      </w:pPr>
      <w:r w:rsidRPr="00513FF0">
        <w:rPr>
          <w:lang w:val="fr-CA"/>
        </w:rPr>
        <w:t>Avant d’entreprendre l’évaluation</w:t>
      </w:r>
      <w:bookmarkEnd w:id="85"/>
      <w:r w:rsidR="00B314CC" w:rsidRPr="00513FF0">
        <w:rPr>
          <w:lang w:val="fr-CA"/>
        </w:rPr>
        <w:t xml:space="preserve">, </w:t>
      </w:r>
      <w:r w:rsidR="00C75B10" w:rsidRPr="00C75B10">
        <w:rPr>
          <w:lang w:val="fr-CA"/>
        </w:rPr>
        <w:t xml:space="preserve">reconnaissez vos </w:t>
      </w:r>
      <w:r w:rsidRPr="00513FF0">
        <w:rPr>
          <w:lang w:val="fr-CA"/>
        </w:rPr>
        <w:t>propres préjugés</w:t>
      </w:r>
      <w:bookmarkStart w:id="86" w:name="lt_pId166"/>
      <w:r w:rsidR="00B314CC" w:rsidRPr="00513FF0">
        <w:rPr>
          <w:lang w:val="fr-CA"/>
        </w:rPr>
        <w:t xml:space="preserve">. </w:t>
      </w:r>
      <w:bookmarkEnd w:id="86"/>
      <w:r w:rsidRPr="00513FF0">
        <w:rPr>
          <w:lang w:val="fr-CA"/>
        </w:rPr>
        <w:t xml:space="preserve">Un test d’association implicite permet de mettre en évidence les différences entre les croyances déclarées des personnes et leurs attitudes profondes. Il aide les gens à réfléchir à leurs attitudes </w:t>
      </w:r>
      <w:r w:rsidR="00847E47" w:rsidRPr="00513FF0">
        <w:rPr>
          <w:lang w:val="fr-CA"/>
        </w:rPr>
        <w:t xml:space="preserve">envers </w:t>
      </w:r>
      <w:hyperlink r:id="rId17" w:anchor="a20" w:history="1">
        <w:r w:rsidR="00847E47" w:rsidRPr="00513FF0">
          <w:rPr>
            <w:rStyle w:val="Hyperlink"/>
            <w:lang w:val="fr-CA"/>
          </w:rPr>
          <w:t>l’identité de genre</w:t>
        </w:r>
      </w:hyperlink>
      <w:r w:rsidR="00847E47" w:rsidRPr="00513FF0">
        <w:rPr>
          <w:lang w:val="fr-CA"/>
        </w:rPr>
        <w:t xml:space="preserve">, l’orientation sexuelle, la race, le </w:t>
      </w:r>
      <w:hyperlink r:id="rId18" w:anchor="a17" w:history="1">
        <w:r w:rsidR="00847E47" w:rsidRPr="00513FF0">
          <w:rPr>
            <w:rStyle w:val="Hyperlink"/>
            <w:lang w:val="fr-CA"/>
          </w:rPr>
          <w:t>handicap</w:t>
        </w:r>
      </w:hyperlink>
      <w:r w:rsidR="00847E47" w:rsidRPr="00513FF0">
        <w:rPr>
          <w:lang w:val="fr-CA"/>
        </w:rPr>
        <w:t xml:space="preserve">, </w:t>
      </w:r>
      <w:hyperlink r:id="rId19" w:anchor="a2" w:history="1">
        <w:r w:rsidR="00847E47" w:rsidRPr="00513FF0">
          <w:rPr>
            <w:rStyle w:val="Hyperlink"/>
            <w:lang w:val="fr-CA"/>
          </w:rPr>
          <w:t>l’âge</w:t>
        </w:r>
      </w:hyperlink>
      <w:r w:rsidR="00847E47" w:rsidRPr="00513FF0">
        <w:rPr>
          <w:lang w:val="fr-CA"/>
        </w:rPr>
        <w:t xml:space="preserve"> et d’autres préjugés.</w:t>
      </w:r>
      <w:r w:rsidR="00B51C9B" w:rsidRPr="00513FF0">
        <w:rPr>
          <w:lang w:val="fr-CA"/>
        </w:rPr>
        <w:t xml:space="preserve"> </w:t>
      </w:r>
      <w:r w:rsidRPr="00513FF0">
        <w:rPr>
          <w:lang w:val="fr-CA"/>
        </w:rPr>
        <w:t>Avant de passer un test d’association implicite, demandez-vous quel type de résultats vous vous attendez à obtenir.</w:t>
      </w:r>
    </w:p>
    <w:p w14:paraId="79423A89" w14:textId="77777777" w:rsidR="002D3055" w:rsidRPr="00513FF0" w:rsidRDefault="002D3055" w:rsidP="00B51C9B">
      <w:pPr>
        <w:pStyle w:val="Heading1"/>
        <w:rPr>
          <w:lang w:val="fr-CA"/>
        </w:rPr>
      </w:pPr>
      <w:bookmarkStart w:id="87" w:name="lt_pId171"/>
      <w:r w:rsidRPr="00513FF0">
        <w:rPr>
          <w:lang w:val="fr-CA"/>
        </w:rPr>
        <w:t>Créer un plan d’action</w:t>
      </w:r>
      <w:bookmarkEnd w:id="87"/>
      <w:r w:rsidRPr="00513FF0">
        <w:rPr>
          <w:lang w:val="fr-CA"/>
        </w:rPr>
        <w:t xml:space="preserve"> </w:t>
      </w:r>
    </w:p>
    <w:p w14:paraId="7CCC8A75" w14:textId="77777777" w:rsidR="002D3055" w:rsidRPr="00513FF0" w:rsidRDefault="002D3055" w:rsidP="00E174E6">
      <w:pPr>
        <w:rPr>
          <w:lang w:val="fr-CA"/>
        </w:rPr>
      </w:pPr>
      <w:r w:rsidRPr="00513FF0">
        <w:rPr>
          <w:lang w:val="fr-CA"/>
        </w:rPr>
        <w:t>Après avoir pris conscience des préjugés que vous pourriez avoir, élaborez un plan d’action succinct afin d’atténuer leur influence. Les plans d’action peuvent être simples :</w:t>
      </w:r>
    </w:p>
    <w:p w14:paraId="4DE8B1E6" w14:textId="77777777" w:rsidR="002D3055" w:rsidRPr="00513FF0" w:rsidRDefault="002D3055" w:rsidP="00B51C9B">
      <w:pPr>
        <w:pStyle w:val="ListParagraph"/>
        <w:numPr>
          <w:ilvl w:val="0"/>
          <w:numId w:val="34"/>
        </w:numPr>
        <w:spacing w:after="0"/>
        <w:rPr>
          <w:lang w:val="fr-CA"/>
        </w:rPr>
      </w:pPr>
      <w:proofErr w:type="gramStart"/>
      <w:r w:rsidRPr="00513FF0">
        <w:rPr>
          <w:lang w:val="fr-CA"/>
        </w:rPr>
        <w:t>notez</w:t>
      </w:r>
      <w:proofErr w:type="gramEnd"/>
      <w:r w:rsidRPr="00513FF0">
        <w:rPr>
          <w:lang w:val="fr-CA"/>
        </w:rPr>
        <w:t xml:space="preserve"> la pensée, l’attitude ou l’action que vous aimeriez changer;</w:t>
      </w:r>
    </w:p>
    <w:p w14:paraId="72FDA715" w14:textId="77777777" w:rsidR="002D3055" w:rsidRPr="00513FF0" w:rsidRDefault="002D3055" w:rsidP="00B51C9B">
      <w:pPr>
        <w:pStyle w:val="ListParagraph"/>
        <w:numPr>
          <w:ilvl w:val="0"/>
          <w:numId w:val="34"/>
        </w:numPr>
        <w:spacing w:after="0"/>
        <w:rPr>
          <w:b/>
          <w:bCs/>
          <w:lang w:val="fr-CA"/>
        </w:rPr>
      </w:pPr>
      <w:proofErr w:type="gramStart"/>
      <w:r w:rsidRPr="00513FF0">
        <w:rPr>
          <w:lang w:val="fr-CA"/>
        </w:rPr>
        <w:t>notez</w:t>
      </w:r>
      <w:proofErr w:type="gramEnd"/>
      <w:r w:rsidRPr="00513FF0">
        <w:rPr>
          <w:lang w:val="fr-CA"/>
        </w:rPr>
        <w:t xml:space="preserve"> une ou deux stratégies que vous utiliserez pour apporter ce changement;</w:t>
      </w:r>
    </w:p>
    <w:p w14:paraId="07FFCB5D" w14:textId="77777777" w:rsidR="002D3055" w:rsidRPr="00513FF0" w:rsidRDefault="002D3055" w:rsidP="00B51C9B">
      <w:pPr>
        <w:pStyle w:val="ListParagraph"/>
        <w:numPr>
          <w:ilvl w:val="0"/>
          <w:numId w:val="34"/>
        </w:numPr>
        <w:spacing w:after="0"/>
        <w:rPr>
          <w:b/>
          <w:bCs/>
          <w:lang w:val="fr-CA"/>
        </w:rPr>
      </w:pPr>
      <w:proofErr w:type="gramStart"/>
      <w:r w:rsidRPr="00513FF0">
        <w:rPr>
          <w:lang w:val="fr-CA"/>
        </w:rPr>
        <w:t>à</w:t>
      </w:r>
      <w:proofErr w:type="gramEnd"/>
      <w:r w:rsidRPr="00513FF0">
        <w:rPr>
          <w:lang w:val="fr-CA"/>
        </w:rPr>
        <w:t xml:space="preserve"> la fin du cycle d’évaluation par les pairs, réfléchissez à ce qui s’est passé lorsque vous avez utilisé ces stratégies.</w:t>
      </w:r>
    </w:p>
    <w:p w14:paraId="7B2976A3" w14:textId="77777777" w:rsidR="002D3055" w:rsidRPr="00513FF0" w:rsidRDefault="002D3055" w:rsidP="00B51C9B">
      <w:pPr>
        <w:pStyle w:val="Heading1"/>
        <w:rPr>
          <w:iCs/>
          <w:lang w:val="fr-CA"/>
        </w:rPr>
      </w:pPr>
      <w:bookmarkStart w:id="88" w:name="lt_pId178"/>
      <w:r w:rsidRPr="00513FF0">
        <w:rPr>
          <w:lang w:val="fr-CA"/>
        </w:rPr>
        <w:t>Pendant l’évaluation</w:t>
      </w:r>
      <w:bookmarkEnd w:id="88"/>
      <w:r w:rsidRPr="00513FF0">
        <w:rPr>
          <w:lang w:val="fr-CA"/>
        </w:rPr>
        <w:t xml:space="preserve"> </w:t>
      </w:r>
    </w:p>
    <w:p w14:paraId="00B952D7" w14:textId="77777777" w:rsidR="002D3055" w:rsidRPr="00513FF0" w:rsidRDefault="002D3055" w:rsidP="00E174E6">
      <w:pPr>
        <w:rPr>
          <w:lang w:val="fr-CA"/>
        </w:rPr>
      </w:pPr>
      <w:bookmarkStart w:id="89" w:name="lt_pId179"/>
      <w:r w:rsidRPr="00513FF0">
        <w:rPr>
          <w:lang w:val="fr-CA"/>
        </w:rPr>
        <w:t>Plusieurs stratégies peuvent vous aider à écarter les préjugés, par exemple :</w:t>
      </w:r>
      <w:bookmarkEnd w:id="89"/>
      <w:r w:rsidRPr="00513FF0">
        <w:rPr>
          <w:lang w:val="fr-CA"/>
        </w:rPr>
        <w:t xml:space="preserve"> </w:t>
      </w:r>
    </w:p>
    <w:p w14:paraId="47EB61A8" w14:textId="77777777" w:rsidR="00B51C9B" w:rsidRPr="00513FF0" w:rsidRDefault="002D3055" w:rsidP="00B51C9B">
      <w:pPr>
        <w:pStyle w:val="ListParagraph"/>
        <w:numPr>
          <w:ilvl w:val="0"/>
          <w:numId w:val="36"/>
        </w:numPr>
        <w:rPr>
          <w:b/>
          <w:bCs/>
          <w:lang w:val="fr-CA"/>
        </w:rPr>
      </w:pPr>
      <w:bookmarkStart w:id="90" w:name="lt_pId181"/>
      <w:r w:rsidRPr="00513FF0">
        <w:rPr>
          <w:lang w:val="fr-CA"/>
        </w:rPr>
        <w:t>Prendre le temps</w:t>
      </w:r>
      <w:bookmarkEnd w:id="90"/>
      <w:r w:rsidRPr="00513FF0">
        <w:rPr>
          <w:lang w:val="fr-CA"/>
        </w:rPr>
        <w:t xml:space="preserve"> </w:t>
      </w:r>
      <w:bookmarkStart w:id="91" w:name="lt_pId182"/>
    </w:p>
    <w:p w14:paraId="2149F79B" w14:textId="77777777" w:rsidR="00B51C9B" w:rsidRPr="00513FF0" w:rsidRDefault="002D3055" w:rsidP="00B51C9B">
      <w:pPr>
        <w:pStyle w:val="ListParagraph"/>
        <w:numPr>
          <w:ilvl w:val="0"/>
          <w:numId w:val="36"/>
        </w:numPr>
        <w:rPr>
          <w:b/>
          <w:bCs/>
          <w:lang w:val="fr-CA"/>
        </w:rPr>
      </w:pPr>
      <w:r w:rsidRPr="00513FF0">
        <w:rPr>
          <w:lang w:val="fr-CA"/>
        </w:rPr>
        <w:t>Faire son autocritique</w:t>
      </w:r>
      <w:bookmarkEnd w:id="91"/>
      <w:r w:rsidRPr="00513FF0">
        <w:rPr>
          <w:lang w:val="fr-CA"/>
        </w:rPr>
        <w:t xml:space="preserve"> </w:t>
      </w:r>
    </w:p>
    <w:p w14:paraId="07103BD8" w14:textId="77777777" w:rsidR="00B51C9B" w:rsidRPr="00513FF0" w:rsidRDefault="002D3055" w:rsidP="00B51C9B">
      <w:pPr>
        <w:pStyle w:val="ListParagraph"/>
        <w:numPr>
          <w:ilvl w:val="0"/>
          <w:numId w:val="36"/>
        </w:numPr>
        <w:rPr>
          <w:b/>
          <w:bCs/>
          <w:lang w:val="fr-CA"/>
        </w:rPr>
      </w:pPr>
      <w:bookmarkStart w:id="92" w:name="lt_pId183"/>
      <w:r w:rsidRPr="00513FF0">
        <w:rPr>
          <w:lang w:val="fr-CA"/>
        </w:rPr>
        <w:t>S’ouvrir à différents systèmes de connaissances</w:t>
      </w:r>
      <w:bookmarkEnd w:id="92"/>
      <w:r w:rsidRPr="00513FF0">
        <w:rPr>
          <w:lang w:val="fr-CA"/>
        </w:rPr>
        <w:t xml:space="preserve"> </w:t>
      </w:r>
    </w:p>
    <w:p w14:paraId="6ED627DA" w14:textId="77777777" w:rsidR="00B51C9B" w:rsidRPr="00513FF0" w:rsidRDefault="002D3055" w:rsidP="00B51C9B">
      <w:pPr>
        <w:pStyle w:val="ListParagraph"/>
        <w:numPr>
          <w:ilvl w:val="0"/>
          <w:numId w:val="36"/>
        </w:numPr>
        <w:rPr>
          <w:b/>
          <w:bCs/>
          <w:lang w:val="fr-CA"/>
        </w:rPr>
      </w:pPr>
      <w:bookmarkStart w:id="93" w:name="lt_pId184"/>
      <w:r w:rsidRPr="00513FF0">
        <w:rPr>
          <w:iCs/>
          <w:lang w:val="fr-CA"/>
        </w:rPr>
        <w:t>Évaluer la demande dans son ensemble</w:t>
      </w:r>
      <w:bookmarkEnd w:id="93"/>
      <w:r w:rsidRPr="00513FF0">
        <w:rPr>
          <w:iCs/>
          <w:lang w:val="fr-CA"/>
        </w:rPr>
        <w:t xml:space="preserve"> </w:t>
      </w:r>
    </w:p>
    <w:p w14:paraId="54EDAECF" w14:textId="77777777" w:rsidR="00B51C9B" w:rsidRPr="00513FF0" w:rsidRDefault="002D3055" w:rsidP="00B51C9B">
      <w:pPr>
        <w:pStyle w:val="ListParagraph"/>
        <w:numPr>
          <w:ilvl w:val="0"/>
          <w:numId w:val="36"/>
        </w:numPr>
        <w:rPr>
          <w:b/>
          <w:bCs/>
          <w:lang w:val="fr-CA"/>
        </w:rPr>
      </w:pPr>
      <w:bookmarkStart w:id="94" w:name="lt_pId185"/>
      <w:r w:rsidRPr="00513FF0">
        <w:rPr>
          <w:lang w:val="fr-CA"/>
        </w:rPr>
        <w:t>Se concentrer sur le contenu plutôt que sur le parcours professionnel</w:t>
      </w:r>
      <w:bookmarkEnd w:id="94"/>
      <w:r w:rsidRPr="00513FF0">
        <w:rPr>
          <w:lang w:val="fr-CA"/>
        </w:rPr>
        <w:t xml:space="preserve"> </w:t>
      </w:r>
    </w:p>
    <w:p w14:paraId="65F06707" w14:textId="77777777" w:rsidR="00B51C9B" w:rsidRPr="00513FF0" w:rsidRDefault="002D3055" w:rsidP="00B51C9B">
      <w:pPr>
        <w:pStyle w:val="ListParagraph"/>
        <w:numPr>
          <w:ilvl w:val="0"/>
          <w:numId w:val="36"/>
        </w:numPr>
        <w:rPr>
          <w:b/>
          <w:bCs/>
          <w:lang w:val="fr-CA"/>
        </w:rPr>
      </w:pPr>
      <w:bookmarkStart w:id="95" w:name="lt_pId186"/>
      <w:r w:rsidRPr="00513FF0">
        <w:rPr>
          <w:lang w:val="fr-CA"/>
        </w:rPr>
        <w:t xml:space="preserve">Porter attention aux mots utilisés </w:t>
      </w:r>
      <w:bookmarkEnd w:id="95"/>
    </w:p>
    <w:p w14:paraId="17CCD1DD" w14:textId="77777777" w:rsidR="00B51C9B" w:rsidRPr="00513FF0" w:rsidRDefault="002D3055" w:rsidP="00B51C9B">
      <w:pPr>
        <w:pStyle w:val="ListParagraph"/>
        <w:numPr>
          <w:ilvl w:val="0"/>
          <w:numId w:val="36"/>
        </w:numPr>
        <w:rPr>
          <w:b/>
          <w:bCs/>
          <w:lang w:val="fr-CA"/>
        </w:rPr>
      </w:pPr>
      <w:bookmarkStart w:id="96" w:name="lt_pId187"/>
      <w:r w:rsidRPr="00513FF0">
        <w:rPr>
          <w:lang w:val="fr-CA"/>
        </w:rPr>
        <w:lastRenderedPageBreak/>
        <w:t>Adopter le principe « Rien sur nous, sans nous »</w:t>
      </w:r>
      <w:bookmarkEnd w:id="96"/>
      <w:r w:rsidRPr="00513FF0">
        <w:rPr>
          <w:lang w:val="fr-CA"/>
        </w:rPr>
        <w:t xml:space="preserve"> </w:t>
      </w:r>
    </w:p>
    <w:p w14:paraId="60ABACE3" w14:textId="30C45A18" w:rsidR="002D3055" w:rsidRPr="00513FF0" w:rsidRDefault="002D3055" w:rsidP="00B51C9B">
      <w:pPr>
        <w:pStyle w:val="ListParagraph"/>
        <w:numPr>
          <w:ilvl w:val="0"/>
          <w:numId w:val="36"/>
        </w:numPr>
        <w:rPr>
          <w:b/>
          <w:bCs/>
          <w:lang w:val="fr-CA"/>
        </w:rPr>
      </w:pPr>
      <w:bookmarkStart w:id="97" w:name="lt_pId188"/>
      <w:r w:rsidRPr="00513FF0">
        <w:rPr>
          <w:lang w:val="fr-CA"/>
        </w:rPr>
        <w:t>S’ouvrir à la nouveauté et à l’innovation</w:t>
      </w:r>
      <w:bookmarkEnd w:id="97"/>
    </w:p>
    <w:p w14:paraId="351475CE" w14:textId="77777777" w:rsidR="002D3055" w:rsidRPr="00513FF0" w:rsidRDefault="002D3055" w:rsidP="00B51C9B">
      <w:pPr>
        <w:pStyle w:val="Heading1"/>
        <w:rPr>
          <w:lang w:val="fr-CA"/>
        </w:rPr>
      </w:pPr>
      <w:bookmarkStart w:id="98" w:name="lt_pId190"/>
      <w:r w:rsidRPr="00513FF0">
        <w:rPr>
          <w:lang w:val="fr-CA"/>
        </w:rPr>
        <w:t>1.</w:t>
      </w:r>
      <w:bookmarkEnd w:id="98"/>
      <w:r w:rsidRPr="00513FF0">
        <w:rPr>
          <w:lang w:val="fr-CA"/>
        </w:rPr>
        <w:t xml:space="preserve"> </w:t>
      </w:r>
      <w:bookmarkStart w:id="99" w:name="lt_pId191"/>
      <w:r w:rsidRPr="00513FF0">
        <w:rPr>
          <w:lang w:val="fr-CA"/>
        </w:rPr>
        <w:t>Prendre le temps</w:t>
      </w:r>
      <w:bookmarkEnd w:id="99"/>
    </w:p>
    <w:p w14:paraId="0856A435" w14:textId="536BBDD1" w:rsidR="002D3055" w:rsidRPr="00513FF0" w:rsidRDefault="002D3055" w:rsidP="00E174E6">
      <w:pPr>
        <w:rPr>
          <w:b/>
          <w:bCs/>
          <w:lang w:val="fr-CA"/>
        </w:rPr>
      </w:pPr>
      <w:bookmarkStart w:id="100" w:name="lt_pId192"/>
      <w:r w:rsidRPr="00513FF0">
        <w:rPr>
          <w:lang w:val="fr-CA"/>
        </w:rPr>
        <w:t>Réservez assez de temps pour évaluer chaque demande sans distraction.</w:t>
      </w:r>
      <w:bookmarkEnd w:id="100"/>
      <w:r w:rsidRPr="00513FF0">
        <w:rPr>
          <w:lang w:val="fr-CA"/>
        </w:rPr>
        <w:t xml:space="preserve"> </w:t>
      </w:r>
      <w:bookmarkStart w:id="101" w:name="lt_pId193"/>
      <w:r w:rsidRPr="00513FF0">
        <w:rPr>
          <w:lang w:val="fr-CA"/>
        </w:rPr>
        <w:t>Des études démontrent que les évaluateurs occupés ou distraits par d’autres tâches accordent des notes plus faibles aux femmes qu’aux hommes sur la base de la même évaluation écrite du rendement au travail.</w:t>
      </w:r>
      <w:bookmarkEnd w:id="101"/>
      <w:r w:rsidRPr="00513FF0">
        <w:rPr>
          <w:lang w:val="fr-CA"/>
        </w:rPr>
        <w:t xml:space="preserve"> Notre cerveau est moins susceptible de recourir à des raccourcis si nous prenons le temps d’assimiler et d’analyser les informations. Si possible, revoyez votre évaluation un autre jour afin de détecter tout biais potentiel</w:t>
      </w:r>
      <w:bookmarkStart w:id="102" w:name="lt_pId195"/>
      <w:r w:rsidRPr="00513FF0">
        <w:rPr>
          <w:lang w:val="fr-CA"/>
        </w:rPr>
        <w:t>.</w:t>
      </w:r>
      <w:bookmarkEnd w:id="102"/>
    </w:p>
    <w:p w14:paraId="7EE632E2" w14:textId="6F81D9FE" w:rsidR="002D3055" w:rsidRPr="00513FF0" w:rsidRDefault="002D3055" w:rsidP="00B51C9B">
      <w:pPr>
        <w:pStyle w:val="Heading1"/>
        <w:rPr>
          <w:lang w:val="fr-CA"/>
        </w:rPr>
      </w:pPr>
      <w:bookmarkStart w:id="103" w:name="lt_pId197"/>
      <w:r w:rsidRPr="00513FF0">
        <w:rPr>
          <w:lang w:val="fr-CA"/>
        </w:rPr>
        <w:t>2.</w:t>
      </w:r>
      <w:bookmarkEnd w:id="103"/>
      <w:r w:rsidRPr="00513FF0">
        <w:rPr>
          <w:lang w:val="fr-CA"/>
        </w:rPr>
        <w:t xml:space="preserve"> </w:t>
      </w:r>
      <w:bookmarkStart w:id="104" w:name="lt_pId198"/>
      <w:r w:rsidRPr="00513FF0">
        <w:rPr>
          <w:lang w:val="fr-CA"/>
        </w:rPr>
        <w:t>Faire son autocritique</w:t>
      </w:r>
      <w:bookmarkEnd w:id="104"/>
      <w:r w:rsidRPr="00513FF0">
        <w:rPr>
          <w:lang w:val="fr-CA"/>
        </w:rPr>
        <w:t xml:space="preserve"> </w:t>
      </w:r>
      <w:r w:rsidR="00B51C9B" w:rsidRPr="00513FF0">
        <w:rPr>
          <w:lang w:val="fr-CA"/>
        </w:rPr>
        <w:t>1</w:t>
      </w:r>
    </w:p>
    <w:p w14:paraId="31DEFF70" w14:textId="2279886E" w:rsidR="002D3055" w:rsidRPr="00513FF0" w:rsidRDefault="00986203" w:rsidP="00E174E6">
      <w:pPr>
        <w:rPr>
          <w:b/>
          <w:bCs/>
          <w:lang w:val="fr-CA"/>
        </w:rPr>
      </w:pPr>
      <w:bookmarkStart w:id="105" w:name="lt_pId199"/>
      <w:r w:rsidRPr="00986203">
        <w:rPr>
          <w:iCs/>
          <w:lang w:val="fr-CA"/>
        </w:rPr>
        <w:t xml:space="preserve">L'introspection </w:t>
      </w:r>
      <w:bookmarkStart w:id="106" w:name="lt_pId200"/>
      <w:bookmarkEnd w:id="105"/>
      <w:r w:rsidR="002D3055" w:rsidRPr="00513FF0">
        <w:rPr>
          <w:lang w:val="fr-CA"/>
        </w:rPr>
        <w:t>peut vous aider à déterminer si des préjugés individuels influencent vos évaluations.</w:t>
      </w:r>
      <w:bookmarkEnd w:id="106"/>
      <w:r w:rsidR="002D3055" w:rsidRPr="00513FF0">
        <w:rPr>
          <w:lang w:val="fr-CA"/>
        </w:rPr>
        <w:t xml:space="preserve"> </w:t>
      </w:r>
      <w:bookmarkStart w:id="107" w:name="lt_pId201"/>
      <w:r w:rsidR="002D3055" w:rsidRPr="00513FF0">
        <w:rPr>
          <w:lang w:val="fr-CA"/>
        </w:rPr>
        <w:t>Interrogez-vous régulièrement sur vos jugements et demandez-vous si vos évaluations ne seraient pas influencées par des préjugés.</w:t>
      </w:r>
      <w:bookmarkEnd w:id="107"/>
      <w:r w:rsidR="002D3055" w:rsidRPr="00513FF0">
        <w:rPr>
          <w:lang w:val="fr-CA"/>
        </w:rPr>
        <w:t xml:space="preserve"> </w:t>
      </w:r>
    </w:p>
    <w:p w14:paraId="52FA3D95" w14:textId="3A1B96C6" w:rsidR="002D3055" w:rsidRPr="00513FF0" w:rsidRDefault="002D3055" w:rsidP="00B51C9B">
      <w:pPr>
        <w:pStyle w:val="Heading1"/>
        <w:rPr>
          <w:lang w:val="fr-CA"/>
        </w:rPr>
      </w:pPr>
      <w:bookmarkStart w:id="108" w:name="lt_pId203"/>
      <w:r w:rsidRPr="00513FF0">
        <w:rPr>
          <w:lang w:val="fr-CA"/>
        </w:rPr>
        <w:t>2.</w:t>
      </w:r>
      <w:bookmarkEnd w:id="108"/>
      <w:r w:rsidRPr="00513FF0">
        <w:rPr>
          <w:lang w:val="fr-CA"/>
        </w:rPr>
        <w:t xml:space="preserve"> </w:t>
      </w:r>
      <w:bookmarkStart w:id="109" w:name="lt_pId204"/>
      <w:r w:rsidRPr="00513FF0">
        <w:rPr>
          <w:lang w:val="fr-CA"/>
        </w:rPr>
        <w:t>Faire son autocritique</w:t>
      </w:r>
      <w:bookmarkEnd w:id="109"/>
      <w:r w:rsidRPr="00513FF0">
        <w:rPr>
          <w:lang w:val="fr-CA"/>
        </w:rPr>
        <w:t xml:space="preserve"> </w:t>
      </w:r>
      <w:r w:rsidR="00B51C9B" w:rsidRPr="00513FF0">
        <w:rPr>
          <w:lang w:val="fr-CA"/>
        </w:rPr>
        <w:t>2</w:t>
      </w:r>
    </w:p>
    <w:p w14:paraId="1B3AF676" w14:textId="77777777" w:rsidR="002D3055" w:rsidRPr="00513FF0" w:rsidRDefault="002D3055" w:rsidP="00E174E6">
      <w:pPr>
        <w:rPr>
          <w:lang w:val="fr-CA"/>
        </w:rPr>
      </w:pPr>
      <w:bookmarkStart w:id="110" w:name="lt_pId206"/>
      <w:proofErr w:type="spellStart"/>
      <w:r w:rsidRPr="00513FF0">
        <w:rPr>
          <w:lang w:val="fr-CA"/>
        </w:rPr>
        <w:t>Posez-vous</w:t>
      </w:r>
      <w:proofErr w:type="spellEnd"/>
      <w:r w:rsidRPr="00513FF0">
        <w:rPr>
          <w:lang w:val="fr-CA"/>
        </w:rPr>
        <w:t xml:space="preserve"> des questions comme :</w:t>
      </w:r>
      <w:bookmarkEnd w:id="110"/>
      <w:r w:rsidRPr="00513FF0">
        <w:rPr>
          <w:lang w:val="fr-CA"/>
        </w:rPr>
        <w:t xml:space="preserve"> </w:t>
      </w:r>
    </w:p>
    <w:p w14:paraId="400DD9BE" w14:textId="49A97966" w:rsidR="002D3055" w:rsidRPr="00513FF0" w:rsidRDefault="002D3055" w:rsidP="00B51C9B">
      <w:pPr>
        <w:pStyle w:val="ListParagraph"/>
        <w:numPr>
          <w:ilvl w:val="0"/>
          <w:numId w:val="37"/>
        </w:numPr>
        <w:rPr>
          <w:lang w:val="fr-CA"/>
        </w:rPr>
      </w:pPr>
      <w:bookmarkStart w:id="111" w:name="lt_pId207"/>
      <w:r w:rsidRPr="00513FF0">
        <w:rPr>
          <w:lang w:val="fr-CA"/>
        </w:rPr>
        <w:t xml:space="preserve">Les candidats appartenant à </w:t>
      </w:r>
      <w:r w:rsidR="009152BA" w:rsidRPr="00513FF0">
        <w:rPr>
          <w:lang w:val="fr-CA"/>
        </w:rPr>
        <w:t xml:space="preserve">un </w:t>
      </w:r>
      <w:hyperlink r:id="rId20" w:anchor="a16" w:history="1">
        <w:r w:rsidR="009152BA" w:rsidRPr="00513FF0">
          <w:rPr>
            <w:rStyle w:val="Hyperlink"/>
            <w:lang w:val="fr-CA"/>
          </w:rPr>
          <w:t>groupe sous-représenté</w:t>
        </w:r>
      </w:hyperlink>
      <w:r w:rsidR="009152BA" w:rsidRPr="00513FF0">
        <w:rPr>
          <w:lang w:val="fr-CA"/>
        </w:rPr>
        <w:t xml:space="preserve"> doivent-ils </w:t>
      </w:r>
      <w:r w:rsidRPr="00513FF0">
        <w:rPr>
          <w:lang w:val="fr-CA"/>
        </w:rPr>
        <w:t>répondre à des attentes ou à des normes différentes afin d’être considérés comme aussi compétents que les autres candidats?</w:t>
      </w:r>
      <w:bookmarkEnd w:id="111"/>
      <w:r w:rsidRPr="00513FF0">
        <w:rPr>
          <w:lang w:val="fr-CA"/>
        </w:rPr>
        <w:t xml:space="preserve"> </w:t>
      </w:r>
    </w:p>
    <w:p w14:paraId="6E6735CC" w14:textId="77777777" w:rsidR="002D3055" w:rsidRPr="00513FF0" w:rsidRDefault="002D3055" w:rsidP="00B51C9B">
      <w:pPr>
        <w:pStyle w:val="ListParagraph"/>
        <w:numPr>
          <w:ilvl w:val="0"/>
          <w:numId w:val="37"/>
        </w:numPr>
        <w:rPr>
          <w:lang w:val="fr-CA"/>
        </w:rPr>
      </w:pPr>
      <w:bookmarkStart w:id="112" w:name="lt_pId208"/>
      <w:r w:rsidRPr="00513FF0">
        <w:rPr>
          <w:lang w:val="fr-CA"/>
        </w:rPr>
        <w:t>Les chercheurs reconnus sont-ils favorisés en raison de leurs travaux antérieurs plutôt que de leur proposition?</w:t>
      </w:r>
      <w:bookmarkEnd w:id="112"/>
      <w:r w:rsidRPr="00513FF0">
        <w:rPr>
          <w:lang w:val="fr-CA"/>
        </w:rPr>
        <w:t xml:space="preserve"> </w:t>
      </w:r>
    </w:p>
    <w:p w14:paraId="0887C2E8" w14:textId="77777777" w:rsidR="002D3055" w:rsidRPr="00513FF0" w:rsidRDefault="002D3055" w:rsidP="00B51C9B">
      <w:pPr>
        <w:pStyle w:val="ListParagraph"/>
        <w:numPr>
          <w:ilvl w:val="0"/>
          <w:numId w:val="37"/>
        </w:numPr>
        <w:rPr>
          <w:lang w:val="fr-CA"/>
        </w:rPr>
      </w:pPr>
      <w:bookmarkStart w:id="113" w:name="lt_pId209"/>
      <w:r w:rsidRPr="00513FF0">
        <w:rPr>
          <w:lang w:val="fr-CA"/>
        </w:rPr>
        <w:t>La recherche menée dans de petits établissements ou par des groupes sous-représentés est-elle sous-estimée?</w:t>
      </w:r>
      <w:bookmarkEnd w:id="113"/>
    </w:p>
    <w:p w14:paraId="5B4CF20E" w14:textId="77777777" w:rsidR="002D3055" w:rsidRPr="00513FF0" w:rsidRDefault="002D3055" w:rsidP="00B51C9B">
      <w:pPr>
        <w:pStyle w:val="ListParagraph"/>
        <w:numPr>
          <w:ilvl w:val="0"/>
          <w:numId w:val="37"/>
        </w:numPr>
        <w:rPr>
          <w:b/>
          <w:bCs/>
          <w:lang w:val="fr-CA"/>
        </w:rPr>
      </w:pPr>
      <w:bookmarkStart w:id="114" w:name="lt_pId210"/>
      <w:r w:rsidRPr="00513FF0">
        <w:rPr>
          <w:lang w:val="fr-CA"/>
        </w:rPr>
        <w:t>Le style ou le format de la demande ont-ils pris plus d’importance dans l’évaluation que son contenu?</w:t>
      </w:r>
      <w:bookmarkEnd w:id="114"/>
    </w:p>
    <w:p w14:paraId="31EEF0A2" w14:textId="5EF3593F" w:rsidR="002D3055" w:rsidRPr="00513FF0" w:rsidRDefault="002D3055" w:rsidP="00B51C9B">
      <w:pPr>
        <w:pStyle w:val="Heading1"/>
        <w:rPr>
          <w:lang w:val="fr-CA"/>
        </w:rPr>
      </w:pPr>
      <w:bookmarkStart w:id="115" w:name="lt_pId212"/>
      <w:r w:rsidRPr="00513FF0">
        <w:rPr>
          <w:lang w:val="fr-CA"/>
        </w:rPr>
        <w:t>2.</w:t>
      </w:r>
      <w:bookmarkEnd w:id="115"/>
      <w:r w:rsidRPr="00513FF0">
        <w:rPr>
          <w:lang w:val="fr-CA"/>
        </w:rPr>
        <w:t xml:space="preserve"> </w:t>
      </w:r>
      <w:bookmarkStart w:id="116" w:name="lt_pId213"/>
      <w:r w:rsidRPr="00513FF0">
        <w:rPr>
          <w:lang w:val="fr-CA"/>
        </w:rPr>
        <w:t>Faire son autocritique</w:t>
      </w:r>
      <w:bookmarkEnd w:id="116"/>
      <w:r w:rsidRPr="00513FF0">
        <w:rPr>
          <w:lang w:val="fr-CA"/>
        </w:rPr>
        <w:t xml:space="preserve"> </w:t>
      </w:r>
      <w:r w:rsidR="00B51C9B" w:rsidRPr="00513FF0">
        <w:rPr>
          <w:lang w:val="fr-CA"/>
        </w:rPr>
        <w:t>3</w:t>
      </w:r>
    </w:p>
    <w:bookmarkStart w:id="117" w:name="lt_pId214"/>
    <w:p w14:paraId="032E1990" w14:textId="27FAFF27" w:rsidR="002D3055" w:rsidRPr="00513FF0" w:rsidRDefault="004F1127" w:rsidP="00E174E6">
      <w:pPr>
        <w:rPr>
          <w:u w:val="single"/>
          <w:lang w:val="fr-CA"/>
        </w:rPr>
      </w:pPr>
      <w:r w:rsidRPr="00513FF0">
        <w:rPr>
          <w:u w:val="single"/>
          <w:lang w:val="fr-CA"/>
        </w:rPr>
        <w:fldChar w:fldCharType="begin"/>
      </w:r>
      <w:r w:rsidR="00EC6D84">
        <w:rPr>
          <w:u w:val="single"/>
          <w:lang w:val="fr-CA"/>
        </w:rPr>
        <w:instrText>HYPERLINK "https://cihr-irsc.gc.ca/f/54487.html" \l "a45"</w:instrText>
      </w:r>
      <w:r w:rsidRPr="00513FF0">
        <w:rPr>
          <w:u w:val="single"/>
          <w:lang w:val="fr-CA"/>
        </w:rPr>
      </w:r>
      <w:r w:rsidRPr="00513FF0">
        <w:rPr>
          <w:u w:val="single"/>
          <w:lang w:val="fr-CA"/>
        </w:rPr>
        <w:fldChar w:fldCharType="separate"/>
      </w:r>
      <w:bookmarkEnd w:id="117"/>
      <w:r w:rsidR="00EC6D84">
        <w:rPr>
          <w:rStyle w:val="Hyperlink"/>
          <w:lang w:val="fr-CA"/>
        </w:rPr>
        <w:t>La substitution du stéréotype</w:t>
      </w:r>
      <w:r w:rsidRPr="00513FF0">
        <w:rPr>
          <w:u w:val="single"/>
          <w:lang w:val="fr-CA"/>
        </w:rPr>
        <w:fldChar w:fldCharType="end"/>
      </w:r>
      <w:r w:rsidRPr="00513FF0">
        <w:rPr>
          <w:lang w:val="fr-CA"/>
        </w:rPr>
        <w:t xml:space="preserve"> </w:t>
      </w:r>
      <w:r w:rsidR="002D3055" w:rsidRPr="00513FF0">
        <w:rPr>
          <w:lang w:val="fr-CA"/>
        </w:rPr>
        <w:t>peut également aider à déterminer si des préjugés individuels influencent l’évaluation.</w:t>
      </w:r>
      <w:r w:rsidR="00B51C9B" w:rsidRPr="00513FF0">
        <w:rPr>
          <w:lang w:val="fr-CA"/>
        </w:rPr>
        <w:t xml:space="preserve"> </w:t>
      </w:r>
      <w:r w:rsidR="002D3055" w:rsidRPr="00513FF0">
        <w:rPr>
          <w:lang w:val="fr-CA"/>
        </w:rPr>
        <w:t>Ce processus consiste à réfléchir à un stéréotype que vous avez et à le remplacer consciemment par des informations exactes.</w:t>
      </w:r>
    </w:p>
    <w:p w14:paraId="1A97493C" w14:textId="27D2566D" w:rsidR="002D3055" w:rsidRPr="00513FF0" w:rsidRDefault="002D3055" w:rsidP="00B51C9B">
      <w:pPr>
        <w:pStyle w:val="Heading1"/>
        <w:rPr>
          <w:lang w:val="fr-CA"/>
        </w:rPr>
      </w:pPr>
      <w:bookmarkStart w:id="118" w:name="lt_pId218"/>
      <w:r w:rsidRPr="00513FF0">
        <w:rPr>
          <w:lang w:val="fr-CA"/>
        </w:rPr>
        <w:lastRenderedPageBreak/>
        <w:t>2.</w:t>
      </w:r>
      <w:bookmarkEnd w:id="118"/>
      <w:r w:rsidRPr="00513FF0">
        <w:rPr>
          <w:lang w:val="fr-CA"/>
        </w:rPr>
        <w:t xml:space="preserve"> </w:t>
      </w:r>
      <w:bookmarkStart w:id="119" w:name="lt_pId219"/>
      <w:r w:rsidRPr="00513FF0">
        <w:rPr>
          <w:lang w:val="fr-CA"/>
        </w:rPr>
        <w:t>Faire son autocritique</w:t>
      </w:r>
      <w:bookmarkEnd w:id="119"/>
      <w:r w:rsidRPr="00513FF0">
        <w:rPr>
          <w:lang w:val="fr-CA"/>
        </w:rPr>
        <w:t xml:space="preserve"> </w:t>
      </w:r>
      <w:r w:rsidR="00B51C9B" w:rsidRPr="00513FF0">
        <w:rPr>
          <w:lang w:val="fr-CA"/>
        </w:rPr>
        <w:t>4</w:t>
      </w:r>
    </w:p>
    <w:p w14:paraId="34C28EEC" w14:textId="0E03D015" w:rsidR="002D3055" w:rsidRPr="00513FF0" w:rsidRDefault="002D3055" w:rsidP="00E174E6">
      <w:pPr>
        <w:rPr>
          <w:b/>
          <w:bCs/>
          <w:lang w:val="fr-CA"/>
        </w:rPr>
      </w:pPr>
      <w:bookmarkStart w:id="120" w:name="lt_pId221"/>
      <w:r w:rsidRPr="00513FF0">
        <w:rPr>
          <w:lang w:val="fr-CA"/>
        </w:rPr>
        <w:t>Par exemple, les petits établissements peuvent être perçus comme étant moins innovateurs, tandis qu’en réalité leur vision de la recherche est innovatrice, diversifiée et précieuse.</w:t>
      </w:r>
      <w:bookmarkStart w:id="121" w:name="lt_pId222"/>
      <w:bookmarkEnd w:id="120"/>
      <w:r w:rsidR="004607C5" w:rsidRPr="00513FF0">
        <w:rPr>
          <w:lang w:val="fr-CA"/>
        </w:rPr>
        <w:t xml:space="preserve"> </w:t>
      </w:r>
      <w:proofErr w:type="spellStart"/>
      <w:r w:rsidRPr="00513FF0">
        <w:rPr>
          <w:lang w:val="fr-CA"/>
        </w:rPr>
        <w:t>Posez-vous</w:t>
      </w:r>
      <w:proofErr w:type="spellEnd"/>
      <w:r w:rsidRPr="00513FF0">
        <w:rPr>
          <w:lang w:val="fr-CA"/>
        </w:rPr>
        <w:t xml:space="preserve"> la question : </w:t>
      </w:r>
      <w:r w:rsidR="00EC6D84">
        <w:rPr>
          <w:lang w:val="fr-CA"/>
        </w:rPr>
        <w:t>s</w:t>
      </w:r>
      <w:r w:rsidR="00EC6D84" w:rsidRPr="00513FF0">
        <w:rPr>
          <w:lang w:val="fr-CA"/>
        </w:rPr>
        <w:t xml:space="preserve">i </w:t>
      </w:r>
      <w:r w:rsidRPr="00513FF0">
        <w:rPr>
          <w:lang w:val="fr-CA"/>
        </w:rPr>
        <w:t>cette demande provenait d’un établissement de plus grande taille et plus connu, aurait-elle davantage de mérite ?</w:t>
      </w:r>
      <w:bookmarkEnd w:id="121"/>
    </w:p>
    <w:p w14:paraId="26F1BEBD" w14:textId="76AD046B" w:rsidR="002D3055" w:rsidRPr="00513FF0" w:rsidRDefault="002D3055" w:rsidP="004607C5">
      <w:pPr>
        <w:pStyle w:val="Heading1"/>
        <w:rPr>
          <w:iCs/>
          <w:lang w:val="fr-CA"/>
        </w:rPr>
      </w:pPr>
      <w:bookmarkStart w:id="122" w:name="lt_pId224"/>
      <w:r w:rsidRPr="00513FF0">
        <w:rPr>
          <w:lang w:val="fr-CA"/>
        </w:rPr>
        <w:t>3.</w:t>
      </w:r>
      <w:bookmarkEnd w:id="122"/>
      <w:r w:rsidRPr="00513FF0">
        <w:rPr>
          <w:lang w:val="fr-CA"/>
        </w:rPr>
        <w:t xml:space="preserve"> </w:t>
      </w:r>
      <w:bookmarkStart w:id="123" w:name="lt_pId225"/>
      <w:r w:rsidRPr="00513FF0">
        <w:rPr>
          <w:lang w:val="fr-CA"/>
        </w:rPr>
        <w:t>S’ouvrir à différents systèmes de connaissances et façons de faire</w:t>
      </w:r>
      <w:bookmarkEnd w:id="123"/>
      <w:r w:rsidR="004607C5" w:rsidRPr="00513FF0">
        <w:rPr>
          <w:lang w:val="fr-CA"/>
        </w:rPr>
        <w:t xml:space="preserve"> 1</w:t>
      </w:r>
    </w:p>
    <w:p w14:paraId="63AB95F0" w14:textId="603E0A30" w:rsidR="002D3055" w:rsidRPr="00513FF0" w:rsidRDefault="002D3055" w:rsidP="00E174E6">
      <w:pPr>
        <w:rPr>
          <w:b/>
          <w:bCs/>
          <w:lang w:val="fr-CA"/>
        </w:rPr>
      </w:pPr>
      <w:bookmarkStart w:id="124" w:name="lt_pId226"/>
      <w:r w:rsidRPr="00513FF0">
        <w:rPr>
          <w:rFonts w:eastAsia="Calibri" w:cs="Calibri"/>
          <w:color w:val="000000" w:themeColor="text1"/>
          <w:lang w:val="fr-CA"/>
        </w:rPr>
        <w:t xml:space="preserve">Les Autochtones (Premières Nations, Inuits, Métis) comprennent </w:t>
      </w:r>
      <w:bookmarkStart w:id="125" w:name="lt_pId227"/>
      <w:bookmarkEnd w:id="124"/>
      <w:r w:rsidRPr="00513FF0">
        <w:rPr>
          <w:rFonts w:eastAsia="Calibri" w:cs="Calibri"/>
          <w:color w:val="000000" w:themeColor="text1"/>
          <w:lang w:val="fr-CA"/>
        </w:rPr>
        <w:t xml:space="preserve">leurs propres besoins et sont les mieux placés pour </w:t>
      </w:r>
      <w:r w:rsidRPr="00513FF0">
        <w:rPr>
          <w:lang w:val="fr-CA"/>
        </w:rPr>
        <w:t>gérer leurs savoirs en fonction de leurs besoins particuliers et selon leurs structures de gouvernance.</w:t>
      </w:r>
      <w:bookmarkEnd w:id="125"/>
      <w:r w:rsidRPr="00513FF0">
        <w:rPr>
          <w:lang w:val="fr-CA"/>
        </w:rPr>
        <w:t xml:space="preserve"> </w:t>
      </w:r>
      <w:bookmarkStart w:id="126" w:name="lt_pId228"/>
      <w:r w:rsidRPr="00513FF0">
        <w:rPr>
          <w:lang w:val="fr-CA"/>
        </w:rPr>
        <w:t>Avant d’amorcer votre évaluation, réfléchissez à l’importance de l’autodétermination et de l’autonomie des Autochtones en recherche.</w:t>
      </w:r>
      <w:bookmarkEnd w:id="126"/>
      <w:r w:rsidRPr="00513FF0">
        <w:rPr>
          <w:lang w:val="fr-CA"/>
        </w:rPr>
        <w:t xml:space="preserve"> </w:t>
      </w:r>
      <w:bookmarkStart w:id="127" w:name="lt_pId229"/>
      <w:r w:rsidRPr="00513FF0">
        <w:rPr>
          <w:lang w:val="fr-CA"/>
        </w:rPr>
        <w:t>Recherchez dans la proposition des preuves qu’un leadership autochtone ou une collaboration significative avec des Autochtones seront prioritaires.</w:t>
      </w:r>
      <w:bookmarkEnd w:id="127"/>
    </w:p>
    <w:p w14:paraId="48A40F53" w14:textId="2F665E14" w:rsidR="002D3055" w:rsidRPr="00513FF0" w:rsidRDefault="002D3055" w:rsidP="004607C5">
      <w:pPr>
        <w:pStyle w:val="Heading1"/>
        <w:rPr>
          <w:iCs/>
          <w:lang w:val="fr-CA"/>
        </w:rPr>
      </w:pPr>
      <w:bookmarkStart w:id="128" w:name="lt_pId231"/>
      <w:r w:rsidRPr="00513FF0">
        <w:rPr>
          <w:lang w:val="fr-CA"/>
        </w:rPr>
        <w:t>3.</w:t>
      </w:r>
      <w:bookmarkEnd w:id="128"/>
      <w:r w:rsidRPr="00513FF0">
        <w:rPr>
          <w:lang w:val="fr-CA"/>
        </w:rPr>
        <w:t xml:space="preserve"> </w:t>
      </w:r>
      <w:bookmarkStart w:id="129" w:name="lt_pId232"/>
      <w:r w:rsidRPr="00513FF0">
        <w:rPr>
          <w:lang w:val="fr-CA"/>
        </w:rPr>
        <w:t>S’ouvrir à différents systèmes de connaissances et façons de faire</w:t>
      </w:r>
      <w:bookmarkEnd w:id="129"/>
      <w:r w:rsidR="004607C5" w:rsidRPr="00513FF0">
        <w:rPr>
          <w:lang w:val="fr-CA"/>
        </w:rPr>
        <w:t xml:space="preserve"> 2</w:t>
      </w:r>
    </w:p>
    <w:p w14:paraId="2FC9ED05" w14:textId="44C7589E" w:rsidR="002D3055" w:rsidRPr="00513FF0" w:rsidRDefault="002D3055" w:rsidP="00E174E6">
      <w:pPr>
        <w:rPr>
          <w:b/>
          <w:bCs/>
          <w:lang w:val="fr-CA"/>
        </w:rPr>
      </w:pPr>
      <w:bookmarkStart w:id="130" w:name="lt_pId233"/>
      <w:r w:rsidRPr="00513FF0">
        <w:rPr>
          <w:lang w:val="fr-CA"/>
        </w:rPr>
        <w:t>Demandez-vous si la recherche adopte une approche fondée sur les distinctions</w:t>
      </w:r>
      <w:r w:rsidR="004607C5" w:rsidRPr="00513FF0">
        <w:rPr>
          <w:lang w:val="fr-CA"/>
        </w:rPr>
        <w:t xml:space="preserve">. </w:t>
      </w:r>
      <w:r w:rsidRPr="00513FF0">
        <w:rPr>
          <w:lang w:val="fr-CA"/>
        </w:rPr>
        <w:t xml:space="preserve">C’est-à-dire que la démarche tient compte des différences culturelles et historiques entre les communautés autochtones et de </w:t>
      </w:r>
      <w:r w:rsidR="00455A95" w:rsidRPr="00513FF0">
        <w:rPr>
          <w:lang w:val="fr-CA"/>
        </w:rPr>
        <w:t xml:space="preserve">la </w:t>
      </w:r>
      <w:hyperlink r:id="rId21" w:anchor="a8" w:history="1">
        <w:r w:rsidR="00455A95" w:rsidRPr="00513FF0">
          <w:rPr>
            <w:rStyle w:val="Hyperlink"/>
            <w:lang w:val="fr-CA"/>
          </w:rPr>
          <w:t>diversité</w:t>
        </w:r>
      </w:hyperlink>
      <w:r w:rsidR="00455A95" w:rsidRPr="00513FF0">
        <w:rPr>
          <w:lang w:val="fr-CA"/>
        </w:rPr>
        <w:t xml:space="preserve"> au sein </w:t>
      </w:r>
      <w:r w:rsidRPr="00513FF0">
        <w:rPr>
          <w:lang w:val="fr-CA"/>
        </w:rPr>
        <w:t>de chacune.</w:t>
      </w:r>
      <w:bookmarkEnd w:id="130"/>
      <w:r w:rsidRPr="00513FF0">
        <w:rPr>
          <w:lang w:val="fr-CA"/>
        </w:rPr>
        <w:t xml:space="preserve"> </w:t>
      </w:r>
      <w:bookmarkStart w:id="131" w:name="lt_pId236"/>
      <w:r w:rsidRPr="00513FF0">
        <w:rPr>
          <w:lang w:val="fr-CA"/>
        </w:rPr>
        <w:t xml:space="preserve">Les approches </w:t>
      </w:r>
      <w:proofErr w:type="spellStart"/>
      <w:r w:rsidRPr="00513FF0">
        <w:rPr>
          <w:lang w:val="fr-CA"/>
        </w:rPr>
        <w:t>panautochtones</w:t>
      </w:r>
      <w:proofErr w:type="spellEnd"/>
      <w:r w:rsidRPr="00513FF0">
        <w:rPr>
          <w:lang w:val="fr-CA"/>
        </w:rPr>
        <w:t xml:space="preserve"> qui ont recours au terme générique « peuples autochtones » pour désigner leur population cible et qui ne désagrègent pas les données doivent avoir une justification claire et solide pour ce faire.</w:t>
      </w:r>
      <w:bookmarkEnd w:id="131"/>
      <w:r w:rsidRPr="00513FF0">
        <w:rPr>
          <w:lang w:val="fr-CA"/>
        </w:rPr>
        <w:t xml:space="preserve"> </w:t>
      </w:r>
    </w:p>
    <w:p w14:paraId="7096A8B0" w14:textId="763D6E03" w:rsidR="002D3055" w:rsidRPr="00513FF0" w:rsidRDefault="002D3055" w:rsidP="006170E8">
      <w:pPr>
        <w:pStyle w:val="Heading1"/>
        <w:rPr>
          <w:iCs/>
          <w:lang w:val="fr-CA"/>
        </w:rPr>
      </w:pPr>
      <w:bookmarkStart w:id="132" w:name="lt_pId238"/>
      <w:r w:rsidRPr="00513FF0">
        <w:rPr>
          <w:lang w:val="fr-CA"/>
        </w:rPr>
        <w:t>3.</w:t>
      </w:r>
      <w:bookmarkEnd w:id="132"/>
      <w:r w:rsidRPr="00513FF0">
        <w:rPr>
          <w:lang w:val="fr-CA"/>
        </w:rPr>
        <w:t xml:space="preserve"> </w:t>
      </w:r>
      <w:bookmarkStart w:id="133" w:name="lt_pId239"/>
      <w:r w:rsidRPr="00513FF0">
        <w:rPr>
          <w:lang w:val="fr-CA"/>
        </w:rPr>
        <w:t>S’ouvrir à différents systèmes de connaissances et façons de faire</w:t>
      </w:r>
      <w:bookmarkEnd w:id="133"/>
      <w:r w:rsidR="008A192A" w:rsidRPr="00513FF0">
        <w:rPr>
          <w:lang w:val="fr-CA"/>
        </w:rPr>
        <w:t xml:space="preserve"> 3</w:t>
      </w:r>
    </w:p>
    <w:p w14:paraId="5ED259E7" w14:textId="77777777" w:rsidR="002D3055" w:rsidRPr="00513FF0" w:rsidRDefault="002D3055" w:rsidP="00E174E6">
      <w:pPr>
        <w:rPr>
          <w:lang w:val="fr-CA"/>
        </w:rPr>
      </w:pPr>
      <w:bookmarkStart w:id="134" w:name="lt_pId240"/>
      <w:r w:rsidRPr="00513FF0">
        <w:rPr>
          <w:lang w:val="fr-CA"/>
        </w:rPr>
        <w:t>Recherchez dans la proposition des preuves d’une autogouvernance autochtone et de la souveraineté des données autochtones, comme définies dans :</w:t>
      </w:r>
      <w:bookmarkEnd w:id="134"/>
    </w:p>
    <w:p w14:paraId="46CFD766" w14:textId="77777777" w:rsidR="002D3055" w:rsidRPr="00513FF0" w:rsidRDefault="002D3055" w:rsidP="002D3055">
      <w:pPr>
        <w:pStyle w:val="ListParagraph"/>
        <w:numPr>
          <w:ilvl w:val="0"/>
          <w:numId w:val="30"/>
        </w:numPr>
        <w:spacing w:before="240" w:after="120"/>
        <w:rPr>
          <w:lang w:val="fr-CA"/>
        </w:rPr>
      </w:pPr>
      <w:bookmarkStart w:id="135" w:name="lt_pId241"/>
      <w:proofErr w:type="gramStart"/>
      <w:r w:rsidRPr="00513FF0">
        <w:rPr>
          <w:lang w:val="fr-CA"/>
        </w:rPr>
        <w:t>les</w:t>
      </w:r>
      <w:proofErr w:type="gramEnd"/>
      <w:r w:rsidRPr="00513FF0">
        <w:rPr>
          <w:lang w:val="fr-CA"/>
        </w:rPr>
        <w:t xml:space="preserve"> </w:t>
      </w:r>
      <w:hyperlink r:id="rId22" w:history="1">
        <w:r w:rsidRPr="00513FF0">
          <w:rPr>
            <w:rStyle w:val="Hyperlink"/>
            <w:lang w:val="fr-CA"/>
          </w:rPr>
          <w:t>Principes de propriété, de contrôle, d’accès et de possession des Premières Nations</w:t>
        </w:r>
      </w:hyperlink>
      <w:r w:rsidRPr="00513FF0">
        <w:rPr>
          <w:lang w:val="fr-CA"/>
        </w:rPr>
        <w:t xml:space="preserve"> (PCAP®);</w:t>
      </w:r>
      <w:bookmarkEnd w:id="135"/>
      <w:r w:rsidRPr="00513FF0">
        <w:rPr>
          <w:lang w:val="fr-CA"/>
        </w:rPr>
        <w:t xml:space="preserve"> </w:t>
      </w:r>
      <w:bookmarkStart w:id="136" w:name="lt_pId242"/>
    </w:p>
    <w:p w14:paraId="2E872DC9" w14:textId="437FD570" w:rsidR="002D3055" w:rsidRPr="00513FF0" w:rsidRDefault="002D3055" w:rsidP="002D3055">
      <w:pPr>
        <w:pStyle w:val="ListParagraph"/>
        <w:numPr>
          <w:ilvl w:val="0"/>
          <w:numId w:val="30"/>
        </w:numPr>
        <w:spacing w:before="240" w:after="120"/>
        <w:rPr>
          <w:lang w:val="fr-CA"/>
        </w:rPr>
      </w:pPr>
      <w:proofErr w:type="gramStart"/>
      <w:r w:rsidRPr="00513FF0">
        <w:rPr>
          <w:lang w:val="fr-CA"/>
        </w:rPr>
        <w:lastRenderedPageBreak/>
        <w:t>les</w:t>
      </w:r>
      <w:proofErr w:type="gramEnd"/>
      <w:r w:rsidRPr="00513FF0">
        <w:rPr>
          <w:lang w:val="fr-CA"/>
        </w:rPr>
        <w:t xml:space="preserve"> </w:t>
      </w:r>
      <w:hyperlink r:id="rId23" w:history="1">
        <w:r w:rsidRPr="00513FF0">
          <w:rPr>
            <w:rStyle w:val="Hyperlink"/>
            <w:lang w:val="fr-CA"/>
          </w:rPr>
          <w:t xml:space="preserve">Principles of </w:t>
        </w:r>
        <w:proofErr w:type="spellStart"/>
        <w:r w:rsidRPr="00513FF0">
          <w:rPr>
            <w:rStyle w:val="Hyperlink"/>
            <w:lang w:val="fr-CA"/>
          </w:rPr>
          <w:t>Ethical</w:t>
        </w:r>
        <w:proofErr w:type="spellEnd"/>
        <w:r w:rsidRPr="00513FF0">
          <w:rPr>
            <w:rStyle w:val="Hyperlink"/>
            <w:lang w:val="fr-CA"/>
          </w:rPr>
          <w:t xml:space="preserve"> Métis Research</w:t>
        </w:r>
      </w:hyperlink>
      <w:bookmarkEnd w:id="136"/>
      <w:r w:rsidRPr="00513FF0">
        <w:rPr>
          <w:lang w:val="fr-CA"/>
        </w:rPr>
        <w:t xml:space="preserve"> (</w:t>
      </w:r>
      <w:r w:rsidR="00921F8C">
        <w:rPr>
          <w:lang w:val="fr-CA"/>
        </w:rPr>
        <w:t>E</w:t>
      </w:r>
      <w:r w:rsidRPr="00513FF0">
        <w:rPr>
          <w:lang w:val="fr-CA"/>
        </w:rPr>
        <w:t>n anglais seulement</w:t>
      </w:r>
      <w:r w:rsidR="00921F8C">
        <w:rPr>
          <w:lang w:val="fr-CA"/>
        </w:rPr>
        <w:t xml:space="preserve">. </w:t>
      </w:r>
      <w:r w:rsidR="0010296E" w:rsidRPr="0010296E">
        <w:rPr>
          <w:lang w:val="fr-CA"/>
        </w:rPr>
        <w:t>L'autorisation a été demandée de traduire cet article vers le français. Si l’autorisation est accordée, la version traduite sera diffusée dès que possible.</w:t>
      </w:r>
      <w:r w:rsidRPr="00513FF0">
        <w:rPr>
          <w:lang w:val="fr-CA"/>
        </w:rPr>
        <w:t xml:space="preserve">); </w:t>
      </w:r>
      <w:bookmarkStart w:id="137" w:name="lt_pId243"/>
    </w:p>
    <w:p w14:paraId="12F447AC" w14:textId="1CC96BDA" w:rsidR="002D3055" w:rsidRPr="00513FF0" w:rsidRDefault="002D3055" w:rsidP="002D3055">
      <w:pPr>
        <w:pStyle w:val="ListParagraph"/>
        <w:numPr>
          <w:ilvl w:val="0"/>
          <w:numId w:val="30"/>
        </w:numPr>
        <w:spacing w:before="240" w:after="120"/>
        <w:rPr>
          <w:lang w:val="fr-CA"/>
        </w:rPr>
      </w:pPr>
      <w:proofErr w:type="gramStart"/>
      <w:r w:rsidRPr="00513FF0">
        <w:rPr>
          <w:lang w:val="fr-CA"/>
        </w:rPr>
        <w:t>la</w:t>
      </w:r>
      <w:proofErr w:type="gramEnd"/>
      <w:r w:rsidRPr="00513FF0">
        <w:rPr>
          <w:lang w:val="fr-CA"/>
        </w:rPr>
        <w:t xml:space="preserve"> </w:t>
      </w:r>
      <w:hyperlink r:id="rId24" w:history="1">
        <w:r w:rsidRPr="00513FF0">
          <w:rPr>
            <w:rStyle w:val="Hyperlink"/>
            <w:lang w:val="fr-CA"/>
          </w:rPr>
          <w:t>Stratégie nationale inuite sur la recherche</w:t>
        </w:r>
      </w:hyperlink>
      <w:r w:rsidRPr="00513FF0">
        <w:rPr>
          <w:lang w:val="fr-CA"/>
        </w:rPr>
        <w:t>;</w:t>
      </w:r>
      <w:bookmarkEnd w:id="137"/>
      <w:r w:rsidRPr="00513FF0">
        <w:rPr>
          <w:lang w:val="fr-CA"/>
        </w:rPr>
        <w:t xml:space="preserve"> </w:t>
      </w:r>
      <w:bookmarkStart w:id="138" w:name="lt_pId244"/>
    </w:p>
    <w:p w14:paraId="406E482F" w14:textId="77777777" w:rsidR="002D3055" w:rsidRPr="00513FF0" w:rsidRDefault="002D3055" w:rsidP="002D3055">
      <w:pPr>
        <w:pStyle w:val="ListParagraph"/>
        <w:numPr>
          <w:ilvl w:val="0"/>
          <w:numId w:val="30"/>
        </w:numPr>
        <w:spacing w:before="240" w:after="120"/>
        <w:rPr>
          <w:lang w:val="fr-CA"/>
        </w:rPr>
      </w:pPr>
      <w:proofErr w:type="gramStart"/>
      <w:r w:rsidRPr="00513FF0">
        <w:rPr>
          <w:lang w:val="fr-CA"/>
        </w:rPr>
        <w:t>les</w:t>
      </w:r>
      <w:proofErr w:type="gramEnd"/>
      <w:r w:rsidRPr="00513FF0">
        <w:rPr>
          <w:lang w:val="fr-CA"/>
        </w:rPr>
        <w:t xml:space="preserve"> </w:t>
      </w:r>
      <w:hyperlink r:id="rId25" w:history="1">
        <w:r w:rsidRPr="00513FF0">
          <w:rPr>
            <w:rStyle w:val="Hyperlink"/>
            <w:lang w:val="fr-CA"/>
          </w:rPr>
          <w:t>Principes CARE pour la gouvernance des données des Autochtones</w:t>
        </w:r>
      </w:hyperlink>
      <w:r w:rsidRPr="00513FF0">
        <w:rPr>
          <w:lang w:val="fr-CA"/>
        </w:rPr>
        <w:t xml:space="preserve"> (en anglais seulement);</w:t>
      </w:r>
      <w:bookmarkEnd w:id="138"/>
      <w:r w:rsidRPr="00513FF0">
        <w:rPr>
          <w:lang w:val="fr-CA"/>
        </w:rPr>
        <w:t xml:space="preserve"> </w:t>
      </w:r>
      <w:bookmarkStart w:id="139" w:name="lt_pId245"/>
    </w:p>
    <w:p w14:paraId="61D3FD7A" w14:textId="4847E27B" w:rsidR="002D3055" w:rsidRPr="00513FF0" w:rsidRDefault="008A192A" w:rsidP="008A192A">
      <w:pPr>
        <w:rPr>
          <w:lang w:val="fr-CA"/>
        </w:rPr>
      </w:pPr>
      <w:r w:rsidRPr="00513FF0">
        <w:rPr>
          <w:lang w:val="fr-CA"/>
        </w:rPr>
        <w:t>O</w:t>
      </w:r>
      <w:r w:rsidR="002D3055" w:rsidRPr="00513FF0">
        <w:rPr>
          <w:lang w:val="fr-CA"/>
        </w:rPr>
        <w:t>u d’autres principes d’autodétermination établis par les communautés autochtones.</w:t>
      </w:r>
      <w:bookmarkEnd w:id="139"/>
    </w:p>
    <w:p w14:paraId="1CB01953" w14:textId="5E2AD8F1" w:rsidR="002D3055" w:rsidRPr="00513FF0" w:rsidRDefault="002D3055" w:rsidP="008A192A">
      <w:pPr>
        <w:pStyle w:val="Heading1"/>
        <w:rPr>
          <w:iCs/>
          <w:lang w:val="fr-CA"/>
        </w:rPr>
      </w:pPr>
      <w:bookmarkStart w:id="140" w:name="lt_pId247"/>
      <w:r w:rsidRPr="00513FF0">
        <w:rPr>
          <w:lang w:val="fr-CA"/>
        </w:rPr>
        <w:t>3.</w:t>
      </w:r>
      <w:bookmarkEnd w:id="140"/>
      <w:r w:rsidRPr="00513FF0">
        <w:rPr>
          <w:lang w:val="fr-CA"/>
        </w:rPr>
        <w:t xml:space="preserve"> </w:t>
      </w:r>
      <w:bookmarkStart w:id="141" w:name="lt_pId248"/>
      <w:r w:rsidRPr="00513FF0">
        <w:rPr>
          <w:lang w:val="fr-CA"/>
        </w:rPr>
        <w:t>S’ouvrir à différents systèmes de connaissances et façons de faire</w:t>
      </w:r>
      <w:bookmarkEnd w:id="141"/>
      <w:r w:rsidR="008A192A" w:rsidRPr="00513FF0">
        <w:rPr>
          <w:lang w:val="fr-CA"/>
        </w:rPr>
        <w:t xml:space="preserve"> 4</w:t>
      </w:r>
    </w:p>
    <w:p w14:paraId="7C77B1B8" w14:textId="3C93514A" w:rsidR="002D3055" w:rsidRPr="00513FF0" w:rsidRDefault="002D3055" w:rsidP="00E174E6">
      <w:pPr>
        <w:rPr>
          <w:lang w:val="fr-CA"/>
        </w:rPr>
      </w:pPr>
      <w:bookmarkStart w:id="142" w:name="lt_pId249"/>
      <w:r w:rsidRPr="00513FF0">
        <w:rPr>
          <w:lang w:val="fr-CA"/>
        </w:rPr>
        <w:t xml:space="preserve">Utilisez les boutons à l’écran pour obtenir de l’aide relativement à l’observation des lignes directrices du </w:t>
      </w:r>
      <w:hyperlink r:id="rId26" w:history="1">
        <w:r w:rsidRPr="00513FF0">
          <w:rPr>
            <w:rStyle w:val="Hyperlink"/>
            <w:lang w:val="fr-CA"/>
          </w:rPr>
          <w:t>chapitre 9 de l’Énoncé de politique des trois conseils sur l’éthique de la recherche avec des êtres humains (EPTC 2)</w:t>
        </w:r>
      </w:hyperlink>
      <w:r w:rsidRPr="00513FF0">
        <w:rPr>
          <w:lang w:val="fr-CA"/>
        </w:rPr>
        <w:t xml:space="preserve"> et tout autre cadre propre aux organismes, comme les </w:t>
      </w:r>
      <w:hyperlink r:id="rId27" w:history="1">
        <w:r w:rsidRPr="00513FF0">
          <w:rPr>
            <w:rStyle w:val="Hyperlink"/>
            <w:lang w:val="fr-CA"/>
          </w:rPr>
          <w:t>Lignes directrices pour l’évaluation du mérite de la recherche autochtone du CRSH</w:t>
        </w:r>
      </w:hyperlink>
      <w:r w:rsidRPr="00513FF0">
        <w:rPr>
          <w:lang w:val="fr-CA"/>
        </w:rPr>
        <w:t>.</w:t>
      </w:r>
      <w:bookmarkEnd w:id="142"/>
    </w:p>
    <w:p w14:paraId="16E9EAEA" w14:textId="17940D28" w:rsidR="002D3055" w:rsidRPr="00513FF0" w:rsidRDefault="002D3055" w:rsidP="008A192A">
      <w:pPr>
        <w:pStyle w:val="Heading1"/>
        <w:rPr>
          <w:lang w:val="fr-CA"/>
        </w:rPr>
      </w:pPr>
      <w:bookmarkStart w:id="143" w:name="lt_pId253"/>
      <w:r w:rsidRPr="00513FF0">
        <w:rPr>
          <w:lang w:val="fr-CA"/>
        </w:rPr>
        <w:t>4.</w:t>
      </w:r>
      <w:bookmarkEnd w:id="143"/>
      <w:r w:rsidRPr="00513FF0">
        <w:rPr>
          <w:lang w:val="fr-CA"/>
        </w:rPr>
        <w:t xml:space="preserve"> </w:t>
      </w:r>
      <w:bookmarkStart w:id="144" w:name="lt_pId254"/>
      <w:r w:rsidRPr="00513FF0">
        <w:rPr>
          <w:lang w:val="fr-CA"/>
        </w:rPr>
        <w:t>Évaluer la demande dans son ensemble</w:t>
      </w:r>
      <w:bookmarkEnd w:id="144"/>
    </w:p>
    <w:p w14:paraId="58B44C71" w14:textId="48BDE9B5" w:rsidR="002D3055" w:rsidRPr="00513FF0" w:rsidRDefault="002D3055" w:rsidP="00E174E6">
      <w:pPr>
        <w:rPr>
          <w:b/>
          <w:lang w:val="fr-CA"/>
        </w:rPr>
      </w:pPr>
      <w:r w:rsidRPr="00513FF0">
        <w:rPr>
          <w:bCs/>
          <w:lang w:val="fr-CA"/>
        </w:rPr>
        <w:t>Tenez compte des critères d’évaluation et examinez tous les éléments de la proposition de manière égale. Cela permet d’atténuer les préjugés liés au langage utilisé dans les lettres de recommandation, à l’évolution de la carrière du candidat et aux retombées perçues de ses recherches.</w:t>
      </w:r>
    </w:p>
    <w:p w14:paraId="17E5693D" w14:textId="3667D3A5" w:rsidR="002D3055" w:rsidRPr="00513FF0" w:rsidRDefault="002D3055" w:rsidP="00160B77">
      <w:pPr>
        <w:pStyle w:val="Heading1"/>
        <w:rPr>
          <w:lang w:val="fr-CA"/>
        </w:rPr>
      </w:pPr>
      <w:bookmarkStart w:id="145" w:name="lt_pId258"/>
      <w:r w:rsidRPr="00513FF0">
        <w:rPr>
          <w:lang w:val="fr-CA"/>
        </w:rPr>
        <w:t>5.</w:t>
      </w:r>
      <w:bookmarkEnd w:id="145"/>
      <w:r w:rsidRPr="00513FF0">
        <w:rPr>
          <w:lang w:val="fr-CA"/>
        </w:rPr>
        <w:t xml:space="preserve"> </w:t>
      </w:r>
      <w:bookmarkStart w:id="146" w:name="lt_pId259"/>
      <w:r w:rsidRPr="00513FF0">
        <w:rPr>
          <w:lang w:val="fr-CA"/>
        </w:rPr>
        <w:t>Se concentrer sur le contenu plutôt que sur le parcours professionnel</w:t>
      </w:r>
      <w:bookmarkEnd w:id="146"/>
      <w:r w:rsidRPr="00513FF0">
        <w:rPr>
          <w:lang w:val="fr-CA"/>
        </w:rPr>
        <w:t xml:space="preserve"> </w:t>
      </w:r>
      <w:r w:rsidR="00160B77" w:rsidRPr="00513FF0">
        <w:rPr>
          <w:lang w:val="fr-CA"/>
        </w:rPr>
        <w:t>1</w:t>
      </w:r>
    </w:p>
    <w:p w14:paraId="2A7D158D" w14:textId="5049DF13" w:rsidR="002D3055" w:rsidRPr="00513FF0" w:rsidRDefault="002D3055" w:rsidP="00E174E6">
      <w:pPr>
        <w:rPr>
          <w:b/>
          <w:bCs/>
          <w:lang w:val="fr-CA"/>
        </w:rPr>
      </w:pPr>
      <w:r w:rsidRPr="00513FF0">
        <w:rPr>
          <w:lang w:val="fr-CA"/>
        </w:rPr>
        <w:t>Lorsque vous épluchez un CV ou une liste de publications, privilégiez le mérite et l’impact sociétal de la recherche plutôt que le parcours professionnel.</w:t>
      </w:r>
      <w:r w:rsidR="00160B77" w:rsidRPr="00513FF0">
        <w:rPr>
          <w:lang w:val="fr-CA"/>
        </w:rPr>
        <w:t xml:space="preserve"> </w:t>
      </w:r>
      <w:r w:rsidRPr="00513FF0">
        <w:rPr>
          <w:lang w:val="fr-CA"/>
        </w:rPr>
        <w:t>Cela permet de réduire les préjugés liés à la productivité et à l’expertise</w:t>
      </w:r>
      <w:bookmarkStart w:id="147" w:name="lt_pId261"/>
      <w:r w:rsidRPr="00513FF0">
        <w:rPr>
          <w:lang w:val="fr-CA"/>
        </w:rPr>
        <w:t>.</w:t>
      </w:r>
      <w:bookmarkEnd w:id="147"/>
      <w:r w:rsidRPr="00513FF0">
        <w:rPr>
          <w:lang w:val="fr-CA"/>
        </w:rPr>
        <w:t xml:space="preserve"> </w:t>
      </w:r>
    </w:p>
    <w:p w14:paraId="1BB07FD1" w14:textId="7838E44C" w:rsidR="002D3055" w:rsidRPr="00513FF0" w:rsidRDefault="002D3055" w:rsidP="00160B77">
      <w:pPr>
        <w:pStyle w:val="Heading1"/>
        <w:rPr>
          <w:lang w:val="fr-CA"/>
        </w:rPr>
      </w:pPr>
      <w:bookmarkStart w:id="148" w:name="lt_pId263"/>
      <w:r w:rsidRPr="00513FF0">
        <w:rPr>
          <w:lang w:val="fr-CA"/>
        </w:rPr>
        <w:t>5.</w:t>
      </w:r>
      <w:bookmarkEnd w:id="148"/>
      <w:r w:rsidRPr="00513FF0">
        <w:rPr>
          <w:lang w:val="fr-CA"/>
        </w:rPr>
        <w:t xml:space="preserve"> </w:t>
      </w:r>
      <w:bookmarkStart w:id="149" w:name="lt_pId264"/>
      <w:r w:rsidRPr="00513FF0">
        <w:rPr>
          <w:lang w:val="fr-CA"/>
        </w:rPr>
        <w:t>Se concentrer sur le contenu plutôt que sur le parcours professionnel</w:t>
      </w:r>
      <w:bookmarkEnd w:id="149"/>
      <w:r w:rsidRPr="00513FF0">
        <w:rPr>
          <w:lang w:val="fr-CA"/>
        </w:rPr>
        <w:t xml:space="preserve"> </w:t>
      </w:r>
      <w:r w:rsidR="00160B77" w:rsidRPr="00513FF0">
        <w:rPr>
          <w:lang w:val="fr-CA"/>
        </w:rPr>
        <w:t>2</w:t>
      </w:r>
    </w:p>
    <w:p w14:paraId="50F4F4A8" w14:textId="62F17839" w:rsidR="002D3055" w:rsidRPr="00513FF0" w:rsidRDefault="002D3055" w:rsidP="00E174E6">
      <w:pPr>
        <w:rPr>
          <w:b/>
          <w:bCs/>
          <w:lang w:val="fr-CA"/>
        </w:rPr>
      </w:pPr>
      <w:bookmarkStart w:id="150" w:name="lt_pId265"/>
      <w:r w:rsidRPr="00513FF0">
        <w:rPr>
          <w:lang w:val="fr-CA"/>
        </w:rPr>
        <w:t xml:space="preserve">Accordez de l’importance à la qualité et aux retombées de la recherche, à la mobilisation des connaissances et aux contributions à l’écosystème de la recherche, plutôt que de compter le nombre </w:t>
      </w:r>
      <w:r w:rsidRPr="00513FF0">
        <w:rPr>
          <w:lang w:val="fr-CA"/>
        </w:rPr>
        <w:lastRenderedPageBreak/>
        <w:t>de publications, de citations et de prix.</w:t>
      </w:r>
      <w:bookmarkEnd w:id="150"/>
      <w:r w:rsidRPr="00513FF0">
        <w:rPr>
          <w:lang w:val="fr-CA"/>
        </w:rPr>
        <w:t xml:space="preserve"> </w:t>
      </w:r>
      <w:bookmarkStart w:id="151" w:name="lt_pId266"/>
      <w:r w:rsidRPr="00513FF0">
        <w:rPr>
          <w:lang w:val="fr-CA"/>
        </w:rPr>
        <w:t>Cela favorise « l’individualisation », qui consiste à évaluer le candidat en tant que personne unique plutôt que de se fier à des hypothèses établies par rapport à un groupe.</w:t>
      </w:r>
      <w:bookmarkEnd w:id="151"/>
    </w:p>
    <w:p w14:paraId="605AAB78" w14:textId="332A71FD" w:rsidR="002D3055" w:rsidRPr="00513FF0" w:rsidRDefault="002D3055" w:rsidP="00160B77">
      <w:pPr>
        <w:pStyle w:val="Heading1"/>
        <w:rPr>
          <w:lang w:val="fr-CA"/>
        </w:rPr>
      </w:pPr>
      <w:bookmarkStart w:id="152" w:name="lt_pId268"/>
      <w:r w:rsidRPr="00513FF0">
        <w:rPr>
          <w:lang w:val="fr-CA"/>
        </w:rPr>
        <w:t>5.</w:t>
      </w:r>
      <w:bookmarkEnd w:id="152"/>
      <w:r w:rsidRPr="00513FF0">
        <w:rPr>
          <w:lang w:val="fr-CA"/>
        </w:rPr>
        <w:t xml:space="preserve"> </w:t>
      </w:r>
      <w:bookmarkStart w:id="153" w:name="lt_pId269"/>
      <w:r w:rsidRPr="00513FF0">
        <w:rPr>
          <w:lang w:val="fr-CA"/>
        </w:rPr>
        <w:t>Se concentrer sur le contenu plutôt que sur le parcours professionnel</w:t>
      </w:r>
      <w:bookmarkEnd w:id="153"/>
      <w:r w:rsidRPr="00513FF0">
        <w:rPr>
          <w:lang w:val="fr-CA"/>
        </w:rPr>
        <w:t xml:space="preserve"> </w:t>
      </w:r>
      <w:r w:rsidR="00160B77" w:rsidRPr="00513FF0">
        <w:rPr>
          <w:lang w:val="fr-CA"/>
        </w:rPr>
        <w:t>3</w:t>
      </w:r>
    </w:p>
    <w:p w14:paraId="36BFA817" w14:textId="35FFF099" w:rsidR="002D3055" w:rsidRPr="00513FF0" w:rsidRDefault="00D8160B" w:rsidP="00E174E6">
      <w:pPr>
        <w:rPr>
          <w:b/>
          <w:bCs/>
          <w:lang w:val="fr-CA"/>
        </w:rPr>
      </w:pPr>
      <w:bookmarkStart w:id="154" w:name="lt_pId270"/>
      <w:r w:rsidRPr="00D8160B">
        <w:rPr>
          <w:lang w:val="fr-CA"/>
        </w:rPr>
        <w:t>Lorsqu’il s’agit d’évaluer le candidat lui-même</w:t>
      </w:r>
      <w:r w:rsidR="002D3055" w:rsidRPr="00513FF0">
        <w:rPr>
          <w:lang w:val="fr-CA"/>
        </w:rPr>
        <w:t xml:space="preserve">, ouvrez-vous à </w:t>
      </w:r>
      <w:bookmarkStart w:id="155" w:name="lt_pId271"/>
      <w:bookmarkEnd w:id="154"/>
      <w:r w:rsidR="003C4581" w:rsidRPr="00513FF0">
        <w:rPr>
          <w:lang w:val="fr-CA"/>
        </w:rPr>
        <w:t xml:space="preserve">la </w:t>
      </w:r>
      <w:hyperlink r:id="rId28" w:anchor="a8" w:history="1">
        <w:r w:rsidR="003C4581" w:rsidRPr="00513FF0">
          <w:rPr>
            <w:rStyle w:val="Hyperlink"/>
            <w:lang w:val="fr-CA"/>
          </w:rPr>
          <w:t>diversité</w:t>
        </w:r>
      </w:hyperlink>
      <w:r w:rsidR="003C4581" w:rsidRPr="00513FF0">
        <w:rPr>
          <w:lang w:val="fr-CA"/>
        </w:rPr>
        <w:t xml:space="preserve">. </w:t>
      </w:r>
      <w:r w:rsidR="002D3055" w:rsidRPr="00513FF0">
        <w:rPr>
          <w:lang w:val="fr-CA"/>
        </w:rPr>
        <w:t>Tout le monde ne suit pas le même parcours professionnel ni n’utilise le même style de leadership, mais dans tous les secteurs, il est de plus en plus reconnu que les compétences transférables, le leadership inclusif et la maturité émotionnelle sont les clés du succès.</w:t>
      </w:r>
      <w:bookmarkEnd w:id="155"/>
      <w:r w:rsidR="002D3055" w:rsidRPr="00513FF0">
        <w:rPr>
          <w:lang w:val="fr-CA"/>
        </w:rPr>
        <w:t xml:space="preserve"> </w:t>
      </w:r>
    </w:p>
    <w:p w14:paraId="71A04B93" w14:textId="31E30A50" w:rsidR="002D3055" w:rsidRPr="00513FF0" w:rsidRDefault="002D3055" w:rsidP="00160B77">
      <w:pPr>
        <w:pStyle w:val="Heading1"/>
        <w:rPr>
          <w:lang w:val="fr-CA"/>
        </w:rPr>
      </w:pPr>
      <w:bookmarkStart w:id="156" w:name="lt_pId273"/>
      <w:r w:rsidRPr="00513FF0">
        <w:rPr>
          <w:lang w:val="fr-CA"/>
        </w:rPr>
        <w:t>5.</w:t>
      </w:r>
      <w:bookmarkEnd w:id="156"/>
      <w:r w:rsidRPr="00513FF0">
        <w:rPr>
          <w:lang w:val="fr-CA"/>
        </w:rPr>
        <w:t xml:space="preserve"> </w:t>
      </w:r>
      <w:bookmarkStart w:id="157" w:name="lt_pId274"/>
      <w:r w:rsidRPr="00513FF0">
        <w:rPr>
          <w:lang w:val="fr-CA"/>
        </w:rPr>
        <w:t>Se concentrer sur le contenu plutôt que sur le parcours professionnel</w:t>
      </w:r>
      <w:bookmarkEnd w:id="157"/>
      <w:r w:rsidRPr="00513FF0">
        <w:rPr>
          <w:lang w:val="fr-CA"/>
        </w:rPr>
        <w:t xml:space="preserve"> </w:t>
      </w:r>
      <w:r w:rsidR="00160B77" w:rsidRPr="00513FF0">
        <w:rPr>
          <w:lang w:val="fr-CA"/>
        </w:rPr>
        <w:t>4</w:t>
      </w:r>
    </w:p>
    <w:p w14:paraId="25E77068" w14:textId="735E1E71" w:rsidR="0014749D" w:rsidRDefault="0014749D" w:rsidP="00E174E6">
      <w:pPr>
        <w:rPr>
          <w:lang w:val="fr-CA"/>
        </w:rPr>
      </w:pPr>
      <w:bookmarkStart w:id="158" w:name="lt_pId275"/>
      <w:r w:rsidRPr="0014749D">
        <w:rPr>
          <w:lang w:val="fr-CA"/>
        </w:rPr>
        <w:t>Dans les situations où on évalue la personne elle-même, plutôt que la recherche qu’elle propose, comme dans le cas des bourses de formation ou de début de carrière, cherchez des preuves de compétences transférables ou d’expériences similaires qui montrent que la personne répond aux critères d’évaluation.</w:t>
      </w:r>
    </w:p>
    <w:p w14:paraId="2C8C00C8" w14:textId="54744FAB" w:rsidR="002D3055" w:rsidRPr="00513FF0" w:rsidRDefault="002D3055" w:rsidP="00160B77">
      <w:pPr>
        <w:pStyle w:val="Heading1"/>
        <w:rPr>
          <w:lang w:val="fr-CA"/>
        </w:rPr>
      </w:pPr>
      <w:bookmarkStart w:id="159" w:name="lt_pId277"/>
      <w:bookmarkEnd w:id="158"/>
      <w:r w:rsidRPr="00513FF0">
        <w:rPr>
          <w:lang w:val="fr-CA"/>
        </w:rPr>
        <w:t>6.</w:t>
      </w:r>
      <w:bookmarkEnd w:id="159"/>
      <w:r w:rsidRPr="00513FF0">
        <w:rPr>
          <w:lang w:val="fr-CA"/>
        </w:rPr>
        <w:t xml:space="preserve"> </w:t>
      </w:r>
      <w:bookmarkStart w:id="160" w:name="lt_pId278"/>
      <w:r w:rsidRPr="00513FF0">
        <w:rPr>
          <w:lang w:val="fr-CA"/>
        </w:rPr>
        <w:t>Porter attention aux mots utilisés</w:t>
      </w:r>
      <w:bookmarkEnd w:id="160"/>
      <w:r w:rsidRPr="00513FF0">
        <w:rPr>
          <w:lang w:val="fr-CA"/>
        </w:rPr>
        <w:t xml:space="preserve"> </w:t>
      </w:r>
      <w:r w:rsidR="00160B77" w:rsidRPr="00513FF0">
        <w:rPr>
          <w:lang w:val="fr-CA"/>
        </w:rPr>
        <w:t>1</w:t>
      </w:r>
    </w:p>
    <w:p w14:paraId="35F6E142" w14:textId="796457F7" w:rsidR="002D3055" w:rsidRPr="00513FF0" w:rsidRDefault="002D3055" w:rsidP="00E174E6">
      <w:pPr>
        <w:rPr>
          <w:b/>
          <w:bCs/>
          <w:lang w:val="fr-CA"/>
        </w:rPr>
      </w:pPr>
      <w:bookmarkStart w:id="161" w:name="lt_pId279"/>
      <w:r w:rsidRPr="00513FF0">
        <w:rPr>
          <w:lang w:val="fr-CA"/>
        </w:rPr>
        <w:t xml:space="preserve">Portez attention aux mots qui sont utilisés pour décrire </w:t>
      </w:r>
      <w:r w:rsidR="00A9799D" w:rsidRPr="00A9799D">
        <w:rPr>
          <w:lang w:val="fr-CA"/>
        </w:rPr>
        <w:t xml:space="preserve">la personne </w:t>
      </w:r>
      <w:r w:rsidRPr="00513FF0">
        <w:rPr>
          <w:lang w:val="fr-CA"/>
        </w:rPr>
        <w:t>et ses travaux de recherche.</w:t>
      </w:r>
      <w:bookmarkEnd w:id="161"/>
      <w:r w:rsidRPr="00513FF0">
        <w:rPr>
          <w:lang w:val="fr-CA"/>
        </w:rPr>
        <w:t xml:space="preserve"> </w:t>
      </w:r>
      <w:bookmarkStart w:id="162" w:name="lt_pId280"/>
      <w:r w:rsidRPr="00513FF0">
        <w:rPr>
          <w:lang w:val="fr-CA"/>
        </w:rPr>
        <w:t>Les lettres de recommandation contiennent-elles des adjectifs élogieux comme « excellent » et « exceptionnel », ou des adjectifs plus neutres comme « compétent » et « travaillant »?</w:t>
      </w:r>
      <w:bookmarkEnd w:id="162"/>
      <w:r w:rsidRPr="00513FF0">
        <w:rPr>
          <w:lang w:val="fr-CA"/>
        </w:rPr>
        <w:t xml:space="preserve"> </w:t>
      </w:r>
      <w:bookmarkStart w:id="163" w:name="lt_pId281"/>
      <w:r w:rsidRPr="00513FF0">
        <w:rPr>
          <w:lang w:val="fr-CA"/>
        </w:rPr>
        <w:t>Réfléchissez à la manière dont ces mots influencent votre perception.</w:t>
      </w:r>
      <w:bookmarkEnd w:id="163"/>
    </w:p>
    <w:p w14:paraId="5B2C66BC" w14:textId="11CD6862" w:rsidR="002D3055" w:rsidRPr="00513FF0" w:rsidRDefault="002D3055" w:rsidP="00160B77">
      <w:pPr>
        <w:pStyle w:val="Heading1"/>
        <w:rPr>
          <w:lang w:val="fr-CA"/>
        </w:rPr>
      </w:pPr>
      <w:bookmarkStart w:id="164" w:name="lt_pId283"/>
      <w:r w:rsidRPr="00513FF0">
        <w:rPr>
          <w:lang w:val="fr-CA"/>
        </w:rPr>
        <w:t>6.</w:t>
      </w:r>
      <w:bookmarkEnd w:id="164"/>
      <w:r w:rsidRPr="00513FF0">
        <w:rPr>
          <w:lang w:val="fr-CA"/>
        </w:rPr>
        <w:t xml:space="preserve"> </w:t>
      </w:r>
      <w:bookmarkStart w:id="165" w:name="lt_pId284"/>
      <w:r w:rsidRPr="00513FF0">
        <w:rPr>
          <w:lang w:val="fr-CA"/>
        </w:rPr>
        <w:t>Porter attention aux mots utilisés</w:t>
      </w:r>
      <w:bookmarkEnd w:id="165"/>
      <w:r w:rsidRPr="00513FF0">
        <w:rPr>
          <w:lang w:val="fr-CA"/>
        </w:rPr>
        <w:t xml:space="preserve"> </w:t>
      </w:r>
      <w:r w:rsidR="00160B77" w:rsidRPr="00513FF0">
        <w:rPr>
          <w:lang w:val="fr-CA"/>
        </w:rPr>
        <w:t>2</w:t>
      </w:r>
    </w:p>
    <w:p w14:paraId="516E1842" w14:textId="5B325B32" w:rsidR="002D3055" w:rsidRPr="00513FF0" w:rsidRDefault="002D3055" w:rsidP="00E174E6">
      <w:pPr>
        <w:rPr>
          <w:b/>
          <w:bCs/>
          <w:lang w:val="fr-CA"/>
        </w:rPr>
      </w:pPr>
      <w:r w:rsidRPr="00513FF0">
        <w:rPr>
          <w:lang w:val="fr-CA"/>
        </w:rPr>
        <w:t xml:space="preserve">Le langage utilisé pour décrire </w:t>
      </w:r>
      <w:r w:rsidR="00A32CFD" w:rsidRPr="00A32CFD">
        <w:rPr>
          <w:lang w:val="fr-CA"/>
        </w:rPr>
        <w:t xml:space="preserve">la personne </w:t>
      </w:r>
      <w:r w:rsidRPr="00513FF0">
        <w:rPr>
          <w:lang w:val="fr-CA"/>
        </w:rPr>
        <w:t xml:space="preserve">ou ses travaux suggère-t-il des préjugés liés au </w:t>
      </w:r>
      <w:hyperlink r:id="rId29" w:anchor="a13" w:history="1">
        <w:r w:rsidRPr="00065A24">
          <w:rPr>
            <w:rStyle w:val="Hyperlink"/>
            <w:lang w:val="fr-CA"/>
          </w:rPr>
          <w:t>genre</w:t>
        </w:r>
      </w:hyperlink>
      <w:r w:rsidRPr="00513FF0">
        <w:rPr>
          <w:lang w:val="fr-CA"/>
        </w:rPr>
        <w:t xml:space="preserve">, à la race, au </w:t>
      </w:r>
      <w:hyperlink r:id="rId30" w:anchor="a17" w:history="1">
        <w:r w:rsidRPr="00065A24">
          <w:rPr>
            <w:rStyle w:val="Hyperlink"/>
            <w:lang w:val="fr-CA"/>
          </w:rPr>
          <w:t>handicap</w:t>
        </w:r>
      </w:hyperlink>
      <w:r w:rsidRPr="00513FF0">
        <w:rPr>
          <w:lang w:val="fr-CA"/>
        </w:rPr>
        <w:t xml:space="preserve"> ou autres? Si vous fournissez une évaluation écrite, relisez-la afin d’éliminer les mots chargés de sens, les suppositions ou les jugements de valeur.</w:t>
      </w:r>
    </w:p>
    <w:p w14:paraId="07A56D47" w14:textId="615EF177" w:rsidR="002D3055" w:rsidRPr="00513FF0" w:rsidRDefault="002D3055" w:rsidP="00160B77">
      <w:pPr>
        <w:pStyle w:val="Heading1"/>
        <w:rPr>
          <w:lang w:val="fr-CA"/>
        </w:rPr>
      </w:pPr>
      <w:bookmarkStart w:id="166" w:name="lt_pId288"/>
      <w:r w:rsidRPr="00513FF0">
        <w:rPr>
          <w:lang w:val="fr-CA"/>
        </w:rPr>
        <w:t>7.</w:t>
      </w:r>
      <w:bookmarkEnd w:id="166"/>
      <w:r w:rsidRPr="00513FF0">
        <w:rPr>
          <w:lang w:val="fr-CA"/>
        </w:rPr>
        <w:t xml:space="preserve"> </w:t>
      </w:r>
      <w:bookmarkStart w:id="167" w:name="lt_pId289"/>
      <w:r w:rsidRPr="00513FF0">
        <w:rPr>
          <w:lang w:val="fr-CA"/>
        </w:rPr>
        <w:t>« Rien sur nous, sans nous. »</w:t>
      </w:r>
      <w:bookmarkEnd w:id="167"/>
      <w:r w:rsidRPr="00513FF0">
        <w:rPr>
          <w:lang w:val="fr-CA"/>
        </w:rPr>
        <w:t xml:space="preserve"> </w:t>
      </w:r>
      <w:r w:rsidR="00160B77" w:rsidRPr="00513FF0">
        <w:rPr>
          <w:lang w:val="fr-CA"/>
        </w:rPr>
        <w:t>1</w:t>
      </w:r>
    </w:p>
    <w:p w14:paraId="37D38D22" w14:textId="78CECA84" w:rsidR="002D3055" w:rsidRPr="00513FF0" w:rsidRDefault="002D3055" w:rsidP="00E174E6">
      <w:pPr>
        <w:rPr>
          <w:b/>
          <w:bCs/>
          <w:lang w:val="fr-CA"/>
        </w:rPr>
      </w:pPr>
      <w:r w:rsidRPr="00513FF0">
        <w:rPr>
          <w:lang w:val="fr-CA"/>
        </w:rPr>
        <w:lastRenderedPageBreak/>
        <w:t xml:space="preserve">Lorsque vous évaluez les demandes de financement, </w:t>
      </w:r>
      <w:proofErr w:type="spellStart"/>
      <w:r w:rsidRPr="00513FF0">
        <w:rPr>
          <w:lang w:val="fr-CA"/>
        </w:rPr>
        <w:t>posez-vous</w:t>
      </w:r>
      <w:proofErr w:type="spellEnd"/>
      <w:r w:rsidRPr="00513FF0">
        <w:rPr>
          <w:lang w:val="fr-CA"/>
        </w:rPr>
        <w:t xml:space="preserve"> la question suivante :</w:t>
      </w:r>
      <w:r w:rsidR="00160B77" w:rsidRPr="00513FF0">
        <w:rPr>
          <w:lang w:val="fr-CA"/>
        </w:rPr>
        <w:t xml:space="preserve"> </w:t>
      </w:r>
      <w:r w:rsidRPr="00513FF0">
        <w:rPr>
          <w:lang w:val="fr-CA"/>
        </w:rPr>
        <w:t xml:space="preserve">Les projets visant à aider </w:t>
      </w:r>
      <w:r w:rsidR="00537B2A" w:rsidRPr="00513FF0">
        <w:rPr>
          <w:lang w:val="fr-CA"/>
        </w:rPr>
        <w:t xml:space="preserve">des </w:t>
      </w:r>
      <w:hyperlink r:id="rId31" w:anchor="a16" w:history="1">
        <w:r w:rsidR="00537B2A" w:rsidRPr="00513FF0">
          <w:rPr>
            <w:rStyle w:val="Hyperlink"/>
            <w:lang w:val="fr-CA"/>
          </w:rPr>
          <w:t>groupes de population sous-représentés</w:t>
        </w:r>
      </w:hyperlink>
      <w:r w:rsidR="00537B2A" w:rsidRPr="00513FF0">
        <w:rPr>
          <w:lang w:val="fr-CA"/>
        </w:rPr>
        <w:t xml:space="preserve"> </w:t>
      </w:r>
      <w:r w:rsidRPr="00513FF0">
        <w:rPr>
          <w:lang w:val="fr-CA"/>
        </w:rPr>
        <w:t>incluent-ils des représentants de ces derniers en tant que décisionnaires et participants clés dans tous les aspects de la conception, de la collecte de données et de l’analyse des résultats</w:t>
      </w:r>
      <w:bookmarkStart w:id="168" w:name="lt_pId291"/>
      <w:r w:rsidRPr="00513FF0">
        <w:rPr>
          <w:lang w:val="fr-CA"/>
        </w:rPr>
        <w:t>?</w:t>
      </w:r>
      <w:bookmarkEnd w:id="168"/>
      <w:r w:rsidRPr="00513FF0">
        <w:rPr>
          <w:lang w:val="fr-CA"/>
        </w:rPr>
        <w:t xml:space="preserve"> </w:t>
      </w:r>
      <w:bookmarkStart w:id="169" w:name="lt_pId292"/>
      <w:r w:rsidRPr="00513FF0">
        <w:rPr>
          <w:lang w:val="fr-CA"/>
        </w:rPr>
        <w:t>Lorsque vous évaluez les retombées potentielles d’un projet, utilisez des données ventilées pour cerner les lacunes et déterminez dans quelle mesure le fait de mettre l’accent sur les groupes sous-représentés comble ces lacunes.</w:t>
      </w:r>
      <w:bookmarkEnd w:id="169"/>
    </w:p>
    <w:p w14:paraId="49DA220D" w14:textId="5A2F7710" w:rsidR="002D3055" w:rsidRPr="00513FF0" w:rsidRDefault="002D3055" w:rsidP="00160B77">
      <w:pPr>
        <w:pStyle w:val="Heading1"/>
        <w:rPr>
          <w:lang w:val="fr-CA"/>
        </w:rPr>
      </w:pPr>
      <w:bookmarkStart w:id="170" w:name="lt_pId294"/>
      <w:r w:rsidRPr="00513FF0">
        <w:rPr>
          <w:lang w:val="fr-CA"/>
        </w:rPr>
        <w:t>7.</w:t>
      </w:r>
      <w:bookmarkEnd w:id="170"/>
      <w:r w:rsidRPr="00513FF0">
        <w:rPr>
          <w:lang w:val="fr-CA"/>
        </w:rPr>
        <w:t xml:space="preserve"> </w:t>
      </w:r>
      <w:bookmarkStart w:id="171" w:name="lt_pId295"/>
      <w:r w:rsidRPr="00513FF0">
        <w:rPr>
          <w:lang w:val="fr-CA"/>
        </w:rPr>
        <w:t>« Rien sur nous, sans nous. »</w:t>
      </w:r>
      <w:bookmarkEnd w:id="171"/>
      <w:r w:rsidRPr="00513FF0">
        <w:rPr>
          <w:lang w:val="fr-CA"/>
        </w:rPr>
        <w:t xml:space="preserve"> </w:t>
      </w:r>
      <w:r w:rsidR="00160B77" w:rsidRPr="00513FF0">
        <w:rPr>
          <w:lang w:val="fr-CA"/>
        </w:rPr>
        <w:t>2</w:t>
      </w:r>
    </w:p>
    <w:p w14:paraId="50591840" w14:textId="55BCB477" w:rsidR="002D3055" w:rsidRPr="00513FF0" w:rsidRDefault="002D3055" w:rsidP="00E174E6">
      <w:pPr>
        <w:rPr>
          <w:b/>
          <w:bCs/>
          <w:lang w:val="fr-CA"/>
        </w:rPr>
      </w:pPr>
      <w:bookmarkStart w:id="172" w:name="lt_pId296"/>
      <w:r w:rsidRPr="00513FF0">
        <w:rPr>
          <w:lang w:val="fr-CA"/>
        </w:rPr>
        <w:t xml:space="preserve">La version anglaise de ce slogan, « </w:t>
      </w:r>
      <w:r w:rsidRPr="00513FF0">
        <w:rPr>
          <w:i/>
          <w:iCs/>
          <w:lang w:val="fr-CA"/>
        </w:rPr>
        <w:t xml:space="preserve">Nothing About Us </w:t>
      </w:r>
      <w:proofErr w:type="spellStart"/>
      <w:r w:rsidRPr="00513FF0">
        <w:rPr>
          <w:i/>
          <w:iCs/>
          <w:lang w:val="fr-CA"/>
        </w:rPr>
        <w:t>Without</w:t>
      </w:r>
      <w:proofErr w:type="spellEnd"/>
      <w:r w:rsidRPr="00513FF0">
        <w:rPr>
          <w:i/>
          <w:iCs/>
          <w:lang w:val="fr-CA"/>
        </w:rPr>
        <w:t xml:space="preserve"> Us</w:t>
      </w:r>
      <w:r w:rsidRPr="00513FF0">
        <w:rPr>
          <w:lang w:val="fr-CA"/>
        </w:rPr>
        <w:t xml:space="preserve"> », a été popularisée par le mouvement militant pour les </w:t>
      </w:r>
      <w:r w:rsidR="008F2E28" w:rsidRPr="00513FF0">
        <w:rPr>
          <w:lang w:val="fr-CA"/>
        </w:rPr>
        <w:t xml:space="preserve">personnes </w:t>
      </w:r>
      <w:hyperlink r:id="rId32" w:anchor="a17" w:history="1">
        <w:r w:rsidR="002B59EB">
          <w:rPr>
            <w:rStyle w:val="Hyperlink"/>
            <w:lang w:val="fr-CA"/>
          </w:rPr>
          <w:t>en situation de handicap</w:t>
        </w:r>
      </w:hyperlink>
      <w:r w:rsidR="008F2E28" w:rsidRPr="00513FF0">
        <w:rPr>
          <w:lang w:val="fr-CA"/>
        </w:rPr>
        <w:t xml:space="preserve"> dans</w:t>
      </w:r>
      <w:r w:rsidRPr="00513FF0">
        <w:rPr>
          <w:lang w:val="fr-CA"/>
        </w:rPr>
        <w:t xml:space="preserve"> les années 1990, puis s’est étendue à d’autres groupes d’intérêt et mouvements.</w:t>
      </w:r>
      <w:bookmarkEnd w:id="172"/>
      <w:r w:rsidRPr="00513FF0">
        <w:rPr>
          <w:lang w:val="fr-CA"/>
        </w:rPr>
        <w:t xml:space="preserve"> </w:t>
      </w:r>
      <w:bookmarkStart w:id="173" w:name="lt_pId297"/>
      <w:r w:rsidRPr="00513FF0">
        <w:rPr>
          <w:lang w:val="fr-CA"/>
        </w:rPr>
        <w:t xml:space="preserve">Cette philosophie soutient la recherche qui est pertinente et bénéfique pour la communauté, tout en atténuant les risques, comme cela est décrit au </w:t>
      </w:r>
      <w:hyperlink r:id="rId33" w:history="1">
        <w:r w:rsidRPr="00513FF0">
          <w:rPr>
            <w:rStyle w:val="Hyperlink"/>
            <w:lang w:val="fr-CA"/>
          </w:rPr>
          <w:t>chapitre 2 de l’EPTC 2</w:t>
        </w:r>
      </w:hyperlink>
      <w:r w:rsidRPr="00513FF0">
        <w:rPr>
          <w:lang w:val="fr-CA"/>
        </w:rPr>
        <w:t>.</w:t>
      </w:r>
      <w:bookmarkEnd w:id="173"/>
    </w:p>
    <w:p w14:paraId="05042CB1" w14:textId="3C53C14E" w:rsidR="002D3055" w:rsidRPr="00513FF0" w:rsidRDefault="002D3055" w:rsidP="00160B77">
      <w:pPr>
        <w:pStyle w:val="Heading1"/>
        <w:rPr>
          <w:lang w:val="fr-CA"/>
        </w:rPr>
      </w:pPr>
      <w:bookmarkStart w:id="174" w:name="lt_pId299"/>
      <w:r w:rsidRPr="00513FF0">
        <w:rPr>
          <w:lang w:val="fr-CA"/>
        </w:rPr>
        <w:t>8.</w:t>
      </w:r>
      <w:bookmarkEnd w:id="174"/>
      <w:r w:rsidRPr="00513FF0">
        <w:rPr>
          <w:lang w:val="fr-CA"/>
        </w:rPr>
        <w:t xml:space="preserve"> </w:t>
      </w:r>
      <w:bookmarkStart w:id="175" w:name="lt_pId300"/>
      <w:r w:rsidRPr="00513FF0">
        <w:rPr>
          <w:lang w:val="fr-CA"/>
        </w:rPr>
        <w:t>S’ouvrir à la nouveauté et à l’innovation</w:t>
      </w:r>
      <w:bookmarkEnd w:id="175"/>
    </w:p>
    <w:p w14:paraId="3FA00AC8" w14:textId="7FCF80EF" w:rsidR="002D3055" w:rsidRPr="00513FF0" w:rsidRDefault="002D3055" w:rsidP="00E174E6">
      <w:pPr>
        <w:rPr>
          <w:lang w:val="fr-CA"/>
        </w:rPr>
      </w:pPr>
      <w:r w:rsidRPr="00513FF0">
        <w:rPr>
          <w:lang w:val="fr-CA"/>
        </w:rPr>
        <w:t>Pensez aux effets que peut avoir une recherche innovante sur le chercheur et remettez en question les préjugés institutionnels envers certains sujets de recherche.</w:t>
      </w:r>
      <w:bookmarkStart w:id="176" w:name="lt_pId302"/>
      <w:r w:rsidR="00160B77" w:rsidRPr="00513FF0">
        <w:rPr>
          <w:lang w:val="fr-CA"/>
        </w:rPr>
        <w:t xml:space="preserve"> </w:t>
      </w:r>
      <w:r w:rsidRPr="00513FF0">
        <w:rPr>
          <w:lang w:val="fr-CA"/>
        </w:rPr>
        <w:t>Financer quelque chose de nouveau, de différent ou d’innovant peut être considéré comme risqué, mais tout le monde apprend lorsque les chercheurs explorent de nouveaux thèmes ou essaient des méthodes innovantes.</w:t>
      </w:r>
      <w:bookmarkStart w:id="177" w:name="lt_pId303"/>
      <w:bookmarkEnd w:id="176"/>
      <w:r w:rsidR="00160B77" w:rsidRPr="00513FF0">
        <w:rPr>
          <w:lang w:val="fr-CA"/>
        </w:rPr>
        <w:t xml:space="preserve"> </w:t>
      </w:r>
      <w:r w:rsidRPr="00513FF0">
        <w:rPr>
          <w:lang w:val="fr-CA"/>
        </w:rPr>
        <w:t>Faut-il raisonnablement écarter les projets innovants, ou est-ce notre conception traditionnelle de ce qui constitue un thème acceptable qui nous amène à ce raisonnement?</w:t>
      </w:r>
      <w:bookmarkEnd w:id="177"/>
      <w:r w:rsidRPr="00513FF0">
        <w:rPr>
          <w:lang w:val="fr-CA"/>
        </w:rPr>
        <w:t xml:space="preserve"> </w:t>
      </w:r>
    </w:p>
    <w:p w14:paraId="44DC9B11" w14:textId="53CA970B" w:rsidR="00160B77" w:rsidRPr="00513FF0" w:rsidRDefault="00160B77" w:rsidP="00160B77">
      <w:pPr>
        <w:pStyle w:val="Heading1"/>
        <w:rPr>
          <w:lang w:val="fr-CA"/>
        </w:rPr>
      </w:pPr>
      <w:r w:rsidRPr="00513FF0">
        <w:rPr>
          <w:lang w:val="fr-CA"/>
        </w:rPr>
        <w:t xml:space="preserve">Choix </w:t>
      </w:r>
      <w:r w:rsidR="00E141A1">
        <w:rPr>
          <w:lang w:val="fr-CA"/>
        </w:rPr>
        <w:t>m</w:t>
      </w:r>
      <w:r w:rsidR="00E141A1" w:rsidRPr="00513FF0">
        <w:rPr>
          <w:lang w:val="fr-CA"/>
        </w:rPr>
        <w:t xml:space="preserve">ultiple </w:t>
      </w:r>
      <w:r w:rsidRPr="00513FF0">
        <w:rPr>
          <w:lang w:val="fr-CA"/>
        </w:rPr>
        <w:t>3</w:t>
      </w:r>
    </w:p>
    <w:p w14:paraId="79CA7D2F" w14:textId="77777777" w:rsidR="002D3055" w:rsidRPr="00513FF0" w:rsidRDefault="002D3055" w:rsidP="00E174E6">
      <w:pPr>
        <w:rPr>
          <w:lang w:val="fr-CA"/>
        </w:rPr>
      </w:pPr>
      <w:bookmarkStart w:id="178" w:name="lt_pId305"/>
      <w:r w:rsidRPr="00513FF0">
        <w:rPr>
          <w:lang w:val="fr-CA"/>
        </w:rPr>
        <w:t>Laquelle des stratégies suivantes peut aider à atténuer les préjugés et à promouvoir l’inclusion dans l’évaluation par les pairs?</w:t>
      </w:r>
      <w:bookmarkEnd w:id="178"/>
    </w:p>
    <w:p w14:paraId="68316ECE" w14:textId="77777777" w:rsidR="002D3055" w:rsidRPr="00513FF0" w:rsidRDefault="002D3055" w:rsidP="002D3055">
      <w:pPr>
        <w:pStyle w:val="ListParagraph"/>
        <w:numPr>
          <w:ilvl w:val="0"/>
          <w:numId w:val="26"/>
        </w:numPr>
        <w:spacing w:before="240" w:after="120"/>
        <w:rPr>
          <w:lang w:val="fr-CA"/>
        </w:rPr>
      </w:pPr>
      <w:bookmarkStart w:id="179" w:name="lt_pId306"/>
      <w:r w:rsidRPr="00513FF0">
        <w:rPr>
          <w:lang w:val="fr-CA"/>
        </w:rPr>
        <w:t>Parcourir rapidement toutes les demandes afin de toujours consacrer le même temps à chacune d’entre elles et de garantir l’efficacité du processus.</w:t>
      </w:r>
      <w:bookmarkEnd w:id="179"/>
    </w:p>
    <w:p w14:paraId="4B74C30E" w14:textId="77777777" w:rsidR="002D3055" w:rsidRPr="00513FF0" w:rsidRDefault="002D3055" w:rsidP="002D3055">
      <w:pPr>
        <w:pStyle w:val="ListParagraph"/>
        <w:numPr>
          <w:ilvl w:val="0"/>
          <w:numId w:val="26"/>
        </w:numPr>
        <w:spacing w:before="240" w:after="120"/>
        <w:rPr>
          <w:lang w:val="fr-CA"/>
        </w:rPr>
      </w:pPr>
      <w:bookmarkStart w:id="180" w:name="lt_pId307"/>
      <w:r w:rsidRPr="00513FF0">
        <w:rPr>
          <w:lang w:val="fr-CA"/>
        </w:rPr>
        <w:t>Réfléchir aux suppositions et préjugés personnels susceptibles d’influencer les décisions d’évaluation.</w:t>
      </w:r>
      <w:bookmarkEnd w:id="180"/>
    </w:p>
    <w:p w14:paraId="596BD157" w14:textId="77777777" w:rsidR="002D3055" w:rsidRPr="00513FF0" w:rsidRDefault="002D3055" w:rsidP="002D3055">
      <w:pPr>
        <w:pStyle w:val="ListParagraph"/>
        <w:numPr>
          <w:ilvl w:val="0"/>
          <w:numId w:val="26"/>
        </w:numPr>
        <w:spacing w:before="240" w:after="120"/>
        <w:rPr>
          <w:lang w:val="fr-CA"/>
        </w:rPr>
      </w:pPr>
      <w:bookmarkStart w:id="181" w:name="lt_pId308"/>
      <w:r w:rsidRPr="00513FF0">
        <w:rPr>
          <w:lang w:val="fr-CA"/>
        </w:rPr>
        <w:t>Donner la priorité aux demandes de chercheurs chevronnés plutôt qu’à celles de chercheurs émergents afin de maintenir la cohérence dans l’octroi du financement.</w:t>
      </w:r>
      <w:bookmarkEnd w:id="181"/>
    </w:p>
    <w:p w14:paraId="184AEDF8" w14:textId="77777777" w:rsidR="002D3055" w:rsidRPr="00513FF0" w:rsidRDefault="002D3055" w:rsidP="002D3055">
      <w:pPr>
        <w:pStyle w:val="ListParagraph"/>
        <w:numPr>
          <w:ilvl w:val="0"/>
          <w:numId w:val="26"/>
        </w:numPr>
        <w:spacing w:before="240" w:after="120"/>
        <w:rPr>
          <w:lang w:val="fr-CA"/>
        </w:rPr>
      </w:pPr>
      <w:bookmarkStart w:id="182" w:name="lt_pId309"/>
      <w:r w:rsidRPr="00513FF0">
        <w:rPr>
          <w:lang w:val="fr-CA"/>
        </w:rPr>
        <w:lastRenderedPageBreak/>
        <w:t>Se concentrer sur le parcours professionnel du candidat plutôt que sur le contenu de la demande pour évaluer le potentiel de réussite.</w:t>
      </w:r>
      <w:bookmarkEnd w:id="182"/>
    </w:p>
    <w:p w14:paraId="0D980423" w14:textId="77777777" w:rsidR="002D3055" w:rsidRPr="00513FF0" w:rsidRDefault="002D3055" w:rsidP="00E174E6">
      <w:pPr>
        <w:rPr>
          <w:lang w:val="fr-CA"/>
        </w:rPr>
      </w:pPr>
      <w:bookmarkStart w:id="183" w:name="lt_pId310"/>
      <w:r w:rsidRPr="00513FF0">
        <w:rPr>
          <w:lang w:val="fr-CA"/>
        </w:rPr>
        <w:t>---</w:t>
      </w:r>
      <w:bookmarkEnd w:id="183"/>
    </w:p>
    <w:p w14:paraId="7BE5CDB7" w14:textId="11F96AFB" w:rsidR="002D3055" w:rsidRPr="00513FF0" w:rsidRDefault="002D3055" w:rsidP="00E174E6">
      <w:pPr>
        <w:rPr>
          <w:lang w:val="fr-CA"/>
        </w:rPr>
      </w:pPr>
      <w:r w:rsidRPr="00513FF0">
        <w:rPr>
          <w:lang w:val="fr-CA"/>
        </w:rPr>
        <w:t>Exactement! Réfléchir aux préjugés et aux suppositions personnels qui peuvent influencer les décisions d’évaluation peut contribuer à promouvoir l’inclusion.</w:t>
      </w:r>
      <w:r w:rsidR="00950669" w:rsidRPr="00513FF0">
        <w:rPr>
          <w:lang w:val="fr-CA"/>
        </w:rPr>
        <w:t xml:space="preserve"> </w:t>
      </w:r>
      <w:r w:rsidRPr="00513FF0">
        <w:rPr>
          <w:lang w:val="fr-CA"/>
        </w:rPr>
        <w:t>Cliquez sur l’écran pour continuer.</w:t>
      </w:r>
      <w:bookmarkStart w:id="184" w:name="lt_pId313"/>
    </w:p>
    <w:p w14:paraId="5DCD0259" w14:textId="5531E1DE" w:rsidR="002D3055" w:rsidRPr="00513FF0" w:rsidRDefault="002D3055" w:rsidP="00E174E6">
      <w:pPr>
        <w:rPr>
          <w:lang w:val="fr-CA"/>
        </w:rPr>
      </w:pPr>
      <w:r w:rsidRPr="00513FF0">
        <w:rPr>
          <w:lang w:val="fr-CA"/>
        </w:rPr>
        <w:t>Mauvaise réponse : Cette stratégie peut involontairement perpétuer des préjugés qui favorisent les chercheurs établis et négligent la valeur de la diversité des perspectives et des compétences à toutes les étapes de la carrière.</w:t>
      </w:r>
      <w:bookmarkEnd w:id="184"/>
      <w:r w:rsidRPr="00513FF0">
        <w:rPr>
          <w:lang w:val="fr-CA"/>
        </w:rPr>
        <w:t xml:space="preserve"> </w:t>
      </w:r>
      <w:bookmarkStart w:id="185" w:name="lt_pId314"/>
      <w:r w:rsidRPr="00513FF0">
        <w:rPr>
          <w:lang w:val="fr-CA"/>
        </w:rPr>
        <w:t>Tentez une autre réponse après avoir réfléchi aux principes d’inclusion et d’équité dans le processus d’évaluation et considéré tous les candidats de manière égale en fonction du contenu de leur proposition plutôt que de leur stade de carrière.</w:t>
      </w:r>
      <w:bookmarkEnd w:id="185"/>
      <w:r w:rsidR="00950669" w:rsidRPr="00513FF0">
        <w:rPr>
          <w:lang w:val="fr-CA"/>
        </w:rPr>
        <w:t xml:space="preserve"> </w:t>
      </w:r>
      <w:r w:rsidRPr="00513FF0">
        <w:rPr>
          <w:lang w:val="fr-CA"/>
        </w:rPr>
        <w:t>Cliquez sur l’écran pour continuer.</w:t>
      </w:r>
    </w:p>
    <w:p w14:paraId="2616B0FD" w14:textId="77777777" w:rsidR="002D3055" w:rsidRPr="00513FF0" w:rsidRDefault="002D3055" w:rsidP="00D21EA4">
      <w:pPr>
        <w:pStyle w:val="Heading1"/>
        <w:rPr>
          <w:lang w:val="fr-CA"/>
        </w:rPr>
      </w:pPr>
      <w:bookmarkStart w:id="186" w:name="lt_pId319"/>
      <w:r w:rsidRPr="00513FF0">
        <w:rPr>
          <w:lang w:val="fr-CA"/>
        </w:rPr>
        <w:t>Lors des discussions de groupe</w:t>
      </w:r>
      <w:bookmarkEnd w:id="186"/>
    </w:p>
    <w:p w14:paraId="791C6EA8" w14:textId="54698CBC" w:rsidR="002D3055" w:rsidRPr="00513FF0" w:rsidRDefault="002D3055" w:rsidP="00E174E6">
      <w:pPr>
        <w:rPr>
          <w:b/>
          <w:bCs/>
          <w:lang w:val="fr-CA"/>
        </w:rPr>
      </w:pPr>
      <w:r w:rsidRPr="00513FF0">
        <w:rPr>
          <w:lang w:val="fr-CA"/>
        </w:rPr>
        <w:t xml:space="preserve">Ouvrez-vous à </w:t>
      </w:r>
      <w:r w:rsidR="00A93607" w:rsidRPr="00513FF0">
        <w:rPr>
          <w:lang w:val="fr-CA"/>
        </w:rPr>
        <w:t xml:space="preserve">la </w:t>
      </w:r>
      <w:hyperlink r:id="rId34" w:anchor="a8" w:history="1">
        <w:r w:rsidR="00A93607" w:rsidRPr="00513FF0">
          <w:rPr>
            <w:rStyle w:val="Hyperlink"/>
            <w:lang w:val="fr-CA"/>
          </w:rPr>
          <w:t>diversité</w:t>
        </w:r>
      </w:hyperlink>
      <w:r w:rsidR="00A93607" w:rsidRPr="00513FF0">
        <w:rPr>
          <w:lang w:val="fr-CA"/>
        </w:rPr>
        <w:t xml:space="preserve"> et créez </w:t>
      </w:r>
      <w:r w:rsidRPr="00513FF0">
        <w:rPr>
          <w:lang w:val="fr-CA"/>
        </w:rPr>
        <w:t>une dynamique qui accueille les pairs évaluateurs sur un pied d’égalité. Cela permet d’atténuer les préjugés potentiels dans la prise de décisions concernant les demandes et garantit que les comités sont inclusifs pour tous les pairs évaluateurs et les candidats</w:t>
      </w:r>
      <w:bookmarkStart w:id="187" w:name="lt_pId321"/>
      <w:r w:rsidRPr="00513FF0">
        <w:rPr>
          <w:lang w:val="fr-CA"/>
        </w:rPr>
        <w:t>.</w:t>
      </w:r>
      <w:bookmarkEnd w:id="187"/>
    </w:p>
    <w:p w14:paraId="52CE2568" w14:textId="5AE44097" w:rsidR="002D3055" w:rsidRPr="00513FF0" w:rsidRDefault="002D3055" w:rsidP="00D21EA4">
      <w:pPr>
        <w:pStyle w:val="Heading1"/>
        <w:rPr>
          <w:lang w:val="fr-CA" w:eastAsia="fr-CA"/>
        </w:rPr>
      </w:pPr>
      <w:r w:rsidRPr="00513FF0">
        <w:rPr>
          <w:lang w:val="fr-CA" w:eastAsia="fr-CA"/>
        </w:rPr>
        <w:t>S’efforcer d’avoir des interactions sans préjugés</w:t>
      </w:r>
      <w:r w:rsidR="00D21EA4" w:rsidRPr="00513FF0">
        <w:rPr>
          <w:lang w:val="fr-CA" w:eastAsia="fr-CA"/>
        </w:rPr>
        <w:t xml:space="preserve"> 1</w:t>
      </w:r>
    </w:p>
    <w:p w14:paraId="7D6F81CF" w14:textId="43DD0E6C" w:rsidR="002D3055" w:rsidRPr="00513FF0" w:rsidRDefault="002D3055" w:rsidP="00426182">
      <w:pPr>
        <w:rPr>
          <w:b/>
          <w:bCs/>
          <w:lang w:val="fr-CA"/>
        </w:rPr>
      </w:pPr>
      <w:r w:rsidRPr="00513FF0">
        <w:rPr>
          <w:lang w:val="fr-CA" w:eastAsia="fr-CA"/>
        </w:rPr>
        <w:t>En utilisant un langage neutre pour désigner des personnes ou des relations personnelles, sauf indication contraire.</w:t>
      </w:r>
      <w:r w:rsidR="00D21EA4" w:rsidRPr="00513FF0">
        <w:rPr>
          <w:lang w:val="fr-CA" w:eastAsia="fr-CA"/>
        </w:rPr>
        <w:t xml:space="preserve"> </w:t>
      </w:r>
      <w:r w:rsidRPr="00513FF0">
        <w:rPr>
          <w:lang w:val="fr-CA" w:eastAsia="fr-CA"/>
        </w:rPr>
        <w:t>En pratiquant l’écoute active. Envisagez de laisser la parole à d’autres afin que chaque membre du comité ait l’occasion de s’exprimer</w:t>
      </w:r>
      <w:bookmarkStart w:id="188" w:name="lt_pId326"/>
      <w:r w:rsidRPr="00513FF0">
        <w:rPr>
          <w:lang w:val="fr-CA"/>
        </w:rPr>
        <w:t>.</w:t>
      </w:r>
      <w:bookmarkEnd w:id="188"/>
      <w:r w:rsidRPr="00513FF0">
        <w:rPr>
          <w:lang w:val="fr-CA"/>
        </w:rPr>
        <w:t xml:space="preserve"> </w:t>
      </w:r>
    </w:p>
    <w:p w14:paraId="35F7BFFF" w14:textId="5966BFE4" w:rsidR="00426182" w:rsidRPr="00513FF0" w:rsidRDefault="00426182" w:rsidP="00426182">
      <w:pPr>
        <w:pStyle w:val="Heading1"/>
        <w:rPr>
          <w:lang w:val="fr-CA" w:eastAsia="fr-CA"/>
        </w:rPr>
      </w:pPr>
      <w:r w:rsidRPr="00513FF0">
        <w:rPr>
          <w:lang w:val="fr-CA" w:eastAsia="fr-CA"/>
        </w:rPr>
        <w:t>S’efforcer d’avoir des interactions sans préjugés 2</w:t>
      </w:r>
    </w:p>
    <w:p w14:paraId="4A7317B5" w14:textId="25F3E39C" w:rsidR="002D3055" w:rsidRPr="00513FF0" w:rsidRDefault="00B31924" w:rsidP="00E174E6">
      <w:pPr>
        <w:rPr>
          <w:lang w:val="fr-CA"/>
        </w:rPr>
      </w:pPr>
      <w:bookmarkStart w:id="189" w:name="lt_pId331"/>
      <w:r w:rsidRPr="00513FF0">
        <w:rPr>
          <w:lang w:val="fr-CA"/>
        </w:rPr>
        <w:t xml:space="preserve">Réagissez rapidement et de manière appropriée aux commentaires </w:t>
      </w:r>
      <w:hyperlink r:id="rId35" w:anchor="a47" w:history="1">
        <w:r w:rsidRPr="00513FF0">
          <w:rPr>
            <w:rStyle w:val="Hyperlink"/>
            <w:lang w:val="fr-CA"/>
          </w:rPr>
          <w:t>transphobes</w:t>
        </w:r>
      </w:hyperlink>
      <w:r w:rsidRPr="00513FF0">
        <w:rPr>
          <w:lang w:val="fr-CA"/>
        </w:rPr>
        <w:t xml:space="preserve">, </w:t>
      </w:r>
      <w:hyperlink r:id="rId36" w:anchor="a19" w:history="1">
        <w:r w:rsidRPr="00513FF0">
          <w:rPr>
            <w:rStyle w:val="Hyperlink"/>
            <w:lang w:val="fr-CA"/>
          </w:rPr>
          <w:t>homophobes</w:t>
        </w:r>
      </w:hyperlink>
      <w:r w:rsidRPr="00513FF0">
        <w:rPr>
          <w:lang w:val="fr-CA"/>
        </w:rPr>
        <w:t xml:space="preserve">, </w:t>
      </w:r>
      <w:r w:rsidRPr="00065A24">
        <w:rPr>
          <w:lang w:val="fr-CA"/>
        </w:rPr>
        <w:t>sexistes</w:t>
      </w:r>
      <w:r w:rsidRPr="00513FF0">
        <w:rPr>
          <w:lang w:val="fr-CA"/>
        </w:rPr>
        <w:t xml:space="preserve">, racistes, </w:t>
      </w:r>
      <w:hyperlink r:id="rId37" w:anchor="a5" w:history="1">
        <w:proofErr w:type="spellStart"/>
        <w:r w:rsidRPr="00513FF0">
          <w:rPr>
            <w:rStyle w:val="Hyperlink"/>
            <w:lang w:val="fr-CA"/>
          </w:rPr>
          <w:t>capacitistes</w:t>
        </w:r>
        <w:proofErr w:type="spellEnd"/>
      </w:hyperlink>
      <w:r w:rsidRPr="00513FF0">
        <w:rPr>
          <w:lang w:val="fr-CA"/>
        </w:rPr>
        <w:t xml:space="preserve"> ou </w:t>
      </w:r>
      <w:hyperlink r:id="rId38" w:anchor="a2" w:history="1">
        <w:r w:rsidRPr="00513FF0">
          <w:rPr>
            <w:rStyle w:val="Hyperlink"/>
            <w:lang w:val="fr-CA"/>
          </w:rPr>
          <w:t>âgistes</w:t>
        </w:r>
      </w:hyperlink>
      <w:r w:rsidRPr="00513FF0">
        <w:rPr>
          <w:lang w:val="fr-CA"/>
        </w:rPr>
        <w:t xml:space="preserve">, en indiquant clairement que de tels propos ou comportements désobligeants ou méprisants sont inacceptables. Participez activement à la discussion si le sujet de </w:t>
      </w:r>
      <w:hyperlink r:id="rId39" w:anchor="a11" w:history="1">
        <w:r w:rsidRPr="00513FF0">
          <w:rPr>
            <w:rStyle w:val="Hyperlink"/>
            <w:lang w:val="fr-CA"/>
          </w:rPr>
          <w:t>l’équité</w:t>
        </w:r>
      </w:hyperlink>
      <w:r w:rsidRPr="00513FF0">
        <w:rPr>
          <w:lang w:val="fr-CA"/>
        </w:rPr>
        <w:t xml:space="preserve">, de la </w:t>
      </w:r>
      <w:hyperlink r:id="rId40" w:anchor="a8" w:history="1">
        <w:r w:rsidRPr="00513FF0">
          <w:rPr>
            <w:rStyle w:val="Hyperlink"/>
            <w:lang w:val="fr-CA"/>
          </w:rPr>
          <w:t>diversité</w:t>
        </w:r>
      </w:hyperlink>
      <w:r w:rsidRPr="00513FF0">
        <w:rPr>
          <w:lang w:val="fr-CA"/>
        </w:rPr>
        <w:t xml:space="preserve"> ou de </w:t>
      </w:r>
      <w:hyperlink r:id="rId41" w:anchor="a21" w:history="1">
        <w:r w:rsidRPr="00513FF0">
          <w:rPr>
            <w:rStyle w:val="Hyperlink"/>
            <w:lang w:val="fr-CA"/>
          </w:rPr>
          <w:t>l’inclusion</w:t>
        </w:r>
      </w:hyperlink>
      <w:r w:rsidRPr="00513FF0">
        <w:rPr>
          <w:lang w:val="fr-CA"/>
        </w:rPr>
        <w:t xml:space="preserve"> est abordé. Nommez explicitement et respectueusement les facteurs pouvant avoir un effet sur les chercheurs issus de </w:t>
      </w:r>
      <w:hyperlink r:id="rId42" w:anchor="a16" w:history="1">
        <w:r w:rsidRPr="00513FF0">
          <w:rPr>
            <w:rStyle w:val="Hyperlink"/>
            <w:lang w:val="fr-CA"/>
          </w:rPr>
          <w:t>groupes sous-représentés</w:t>
        </w:r>
      </w:hyperlink>
      <w:r w:rsidRPr="00513FF0">
        <w:rPr>
          <w:lang w:val="fr-CA"/>
        </w:rPr>
        <w:t xml:space="preserve">. </w:t>
      </w:r>
      <w:r w:rsidR="002D3055" w:rsidRPr="00513FF0">
        <w:rPr>
          <w:lang w:val="fr-CA"/>
        </w:rPr>
        <w:t>Communiquer dans les deux langues officielles du Canada.</w:t>
      </w:r>
      <w:bookmarkEnd w:id="189"/>
    </w:p>
    <w:p w14:paraId="408D22CE" w14:textId="77777777" w:rsidR="00426182" w:rsidRPr="00513FF0" w:rsidRDefault="00426182" w:rsidP="00426182">
      <w:pPr>
        <w:pStyle w:val="Heading1"/>
        <w:rPr>
          <w:lang w:val="fr-CA"/>
        </w:rPr>
      </w:pPr>
      <w:bookmarkStart w:id="190" w:name="lt_pId333"/>
      <w:r w:rsidRPr="00513FF0">
        <w:rPr>
          <w:lang w:val="fr-CA"/>
        </w:rPr>
        <w:t>Objectif 3</w:t>
      </w:r>
    </w:p>
    <w:p w14:paraId="090DB76C" w14:textId="77777777" w:rsidR="00CA0813" w:rsidRPr="00513FF0" w:rsidRDefault="00CA0813" w:rsidP="00CA0813">
      <w:pPr>
        <w:rPr>
          <w:lang w:val="fr-CA"/>
        </w:rPr>
      </w:pPr>
      <w:hyperlink r:id="rId43" w:anchor="a9" w:history="1">
        <w:r w:rsidRPr="00513FF0">
          <w:rPr>
            <w:rStyle w:val="Hyperlink"/>
            <w:lang w:val="fr-CA"/>
          </w:rPr>
          <w:t>Références</w:t>
        </w:r>
      </w:hyperlink>
    </w:p>
    <w:p w14:paraId="269195BE" w14:textId="0B144CF4" w:rsidR="002D3055" w:rsidRPr="00513FF0" w:rsidRDefault="002D3055" w:rsidP="00E174E6">
      <w:pPr>
        <w:rPr>
          <w:b/>
          <w:bCs/>
          <w:lang w:val="fr-CA"/>
        </w:rPr>
      </w:pPr>
      <w:r w:rsidRPr="00513FF0">
        <w:rPr>
          <w:lang w:val="fr-CA"/>
        </w:rPr>
        <w:t xml:space="preserve">Apprendre à gérer les </w:t>
      </w:r>
      <w:bookmarkEnd w:id="190"/>
      <w:r w:rsidRPr="00513FF0">
        <w:rPr>
          <w:lang w:val="fr-CA"/>
        </w:rPr>
        <w:t>microagressions</w:t>
      </w:r>
      <w:r w:rsidR="00426182" w:rsidRPr="00513FF0">
        <w:rPr>
          <w:lang w:val="fr-CA"/>
        </w:rPr>
        <w:t xml:space="preserve">. </w:t>
      </w:r>
      <w:bookmarkStart w:id="191" w:name="lt_pId334"/>
      <w:r w:rsidRPr="00513FF0">
        <w:rPr>
          <w:rFonts w:cstheme="minorHAnsi"/>
          <w:lang w:val="fr-CA"/>
        </w:rPr>
        <w:t>Si vous craignez la présence de préjugés lors des discussions de groupe (chez vous ou vos collègues), il est important d’agir.</w:t>
      </w:r>
      <w:bookmarkEnd w:id="191"/>
      <w:r w:rsidRPr="00513FF0">
        <w:rPr>
          <w:rFonts w:cstheme="minorHAnsi"/>
          <w:lang w:val="fr-CA"/>
        </w:rPr>
        <w:t xml:space="preserve"> </w:t>
      </w:r>
      <w:bookmarkStart w:id="192" w:name="lt_pId335"/>
      <w:r w:rsidRPr="00513FF0">
        <w:rPr>
          <w:rFonts w:cstheme="minorHAnsi"/>
          <w:lang w:val="fr-CA"/>
        </w:rPr>
        <w:t>Soulevez la question lors de la discussion en comité ou faites part de vos préoccupations au président du comité ou au personnel de l’organisme.</w:t>
      </w:r>
      <w:bookmarkEnd w:id="192"/>
    </w:p>
    <w:p w14:paraId="3A2A67A6" w14:textId="77777777" w:rsidR="002D3055" w:rsidRPr="00513FF0" w:rsidRDefault="002D3055" w:rsidP="00426182">
      <w:pPr>
        <w:pStyle w:val="Heading1"/>
        <w:rPr>
          <w:lang w:val="fr-CA"/>
        </w:rPr>
      </w:pPr>
      <w:bookmarkStart w:id="193" w:name="lt_pId337"/>
      <w:r w:rsidRPr="00513FF0">
        <w:rPr>
          <w:lang w:val="fr-CA"/>
        </w:rPr>
        <w:t>Qu’est-ce qu’une microagression?</w:t>
      </w:r>
      <w:bookmarkEnd w:id="193"/>
    </w:p>
    <w:p w14:paraId="64C14237" w14:textId="7FDF9A6E" w:rsidR="002D3055" w:rsidRPr="00513FF0" w:rsidRDefault="00F6773B" w:rsidP="00E174E6">
      <w:pPr>
        <w:rPr>
          <w:lang w:val="fr-CA"/>
        </w:rPr>
      </w:pPr>
      <w:bookmarkStart w:id="194" w:name="lt_pId338"/>
      <w:bookmarkStart w:id="195" w:name="lt_pId339"/>
      <w:r w:rsidRPr="00513FF0">
        <w:rPr>
          <w:lang w:val="fr-CA"/>
        </w:rPr>
        <w:t xml:space="preserve">Les </w:t>
      </w:r>
      <w:hyperlink r:id="rId44" w:anchor="a25" w:history="1">
        <w:r w:rsidRPr="00513FF0">
          <w:rPr>
            <w:rStyle w:val="Hyperlink"/>
            <w:lang w:val="fr-CA"/>
          </w:rPr>
          <w:t>microagressions</w:t>
        </w:r>
      </w:hyperlink>
      <w:r w:rsidRPr="00513FF0">
        <w:rPr>
          <w:lang w:val="fr-CA"/>
        </w:rPr>
        <w:t xml:space="preserve"> sont des mesures institutionnelles, des propos ou des comportements brefs et courants qui véhiculent des stéréotypes ou de la </w:t>
      </w:r>
      <w:hyperlink r:id="rId45" w:anchor="a7" w:history="1">
        <w:r w:rsidRPr="00513FF0">
          <w:rPr>
            <w:rStyle w:val="Hyperlink"/>
            <w:lang w:val="fr-CA"/>
          </w:rPr>
          <w:t>discrimination</w:t>
        </w:r>
      </w:hyperlink>
      <w:r w:rsidRPr="00513FF0">
        <w:rPr>
          <w:lang w:val="fr-CA"/>
        </w:rPr>
        <w:t xml:space="preserve"> envers certaines personnes, souvent issues de </w:t>
      </w:r>
      <w:hyperlink r:id="rId46" w:anchor="a16" w:history="1">
        <w:r w:rsidRPr="00513FF0">
          <w:rPr>
            <w:rStyle w:val="Hyperlink"/>
            <w:lang w:val="fr-CA"/>
          </w:rPr>
          <w:t xml:space="preserve">groupes </w:t>
        </w:r>
        <w:proofErr w:type="spellStart"/>
        <w:r w:rsidRPr="00513FF0">
          <w:rPr>
            <w:rStyle w:val="Hyperlink"/>
            <w:lang w:val="fr-CA"/>
          </w:rPr>
          <w:t>sous­représentés</w:t>
        </w:r>
        <w:proofErr w:type="spellEnd"/>
      </w:hyperlink>
      <w:r w:rsidRPr="00513FF0">
        <w:rPr>
          <w:lang w:val="fr-CA"/>
        </w:rPr>
        <w:t>.</w:t>
      </w:r>
      <w:bookmarkEnd w:id="194"/>
      <w:r w:rsidRPr="00513FF0">
        <w:rPr>
          <w:lang w:val="fr-CA"/>
        </w:rPr>
        <w:t xml:space="preserve"> </w:t>
      </w:r>
      <w:r w:rsidR="002D3055" w:rsidRPr="00513FF0">
        <w:rPr>
          <w:lang w:val="fr-CA"/>
        </w:rPr>
        <w:t>Il est important que vous compreniez les microagressions et que vous soyez capable de les reconnaître, car elles peuvent souvent se manifester lors de discussions de groupe.</w:t>
      </w:r>
      <w:bookmarkEnd w:id="195"/>
    </w:p>
    <w:p w14:paraId="651615DD" w14:textId="752693A0" w:rsidR="002D3055" w:rsidRPr="00513FF0" w:rsidRDefault="002D3055" w:rsidP="00426182">
      <w:pPr>
        <w:pStyle w:val="Heading1"/>
        <w:rPr>
          <w:lang w:val="fr-CA"/>
        </w:rPr>
      </w:pPr>
      <w:bookmarkStart w:id="196" w:name="lt_pId341"/>
      <w:r w:rsidRPr="00513FF0">
        <w:rPr>
          <w:lang w:val="fr-CA"/>
        </w:rPr>
        <w:t xml:space="preserve">Conséquences des </w:t>
      </w:r>
      <w:bookmarkEnd w:id="196"/>
      <w:r w:rsidRPr="00513FF0">
        <w:rPr>
          <w:lang w:val="fr-CA"/>
        </w:rPr>
        <w:t>microagressions</w:t>
      </w:r>
      <w:r w:rsidR="004C17AB" w:rsidRPr="00513FF0">
        <w:rPr>
          <w:lang w:val="fr-CA"/>
        </w:rPr>
        <w:t xml:space="preserve"> 1</w:t>
      </w:r>
    </w:p>
    <w:p w14:paraId="284CAC51" w14:textId="78B44545" w:rsidR="004C17AB" w:rsidRPr="00513FF0" w:rsidRDefault="004C17AB" w:rsidP="004C17AB">
      <w:pPr>
        <w:rPr>
          <w:lang w:val="fr-CA"/>
        </w:rPr>
      </w:pPr>
      <w:bookmarkStart w:id="197" w:name="lt_pId342"/>
      <w:bookmarkStart w:id="198" w:name="lt_pId343"/>
      <w:r w:rsidRPr="00513FF0">
        <w:rPr>
          <w:lang w:val="fr-CA"/>
        </w:rPr>
        <w:t xml:space="preserve">Les </w:t>
      </w:r>
      <w:hyperlink r:id="rId47" w:anchor="a25" w:history="1">
        <w:r w:rsidRPr="00513FF0">
          <w:rPr>
            <w:rStyle w:val="Hyperlink"/>
            <w:lang w:val="fr-CA"/>
          </w:rPr>
          <w:t>microagressions</w:t>
        </w:r>
      </w:hyperlink>
      <w:r w:rsidRPr="00513FF0">
        <w:rPr>
          <w:lang w:val="fr-CA"/>
        </w:rPr>
        <w:t xml:space="preserve"> émanent de systèmes plus vastes (« </w:t>
      </w:r>
      <w:proofErr w:type="spellStart"/>
      <w:r w:rsidRPr="00513FF0">
        <w:rPr>
          <w:lang w:val="fr-CA"/>
        </w:rPr>
        <w:t>macrosystèmes</w:t>
      </w:r>
      <w:proofErr w:type="spellEnd"/>
      <w:r w:rsidRPr="00513FF0">
        <w:rPr>
          <w:lang w:val="fr-CA"/>
        </w:rPr>
        <w:t xml:space="preserve"> ») de </w:t>
      </w:r>
      <w:hyperlink r:id="rId48" w:anchor="a7" w:history="1">
        <w:r w:rsidRPr="00513FF0">
          <w:rPr>
            <w:rStyle w:val="Hyperlink"/>
            <w:lang w:val="fr-CA"/>
          </w:rPr>
          <w:t>discrimination</w:t>
        </w:r>
      </w:hyperlink>
      <w:r w:rsidRPr="00513FF0">
        <w:rPr>
          <w:lang w:val="fr-CA"/>
        </w:rPr>
        <w:t xml:space="preserve">, d’oppression, de pouvoir et de </w:t>
      </w:r>
      <w:hyperlink r:id="rId49" w:anchor="a39" w:history="1">
        <w:r w:rsidRPr="00513FF0">
          <w:rPr>
            <w:rStyle w:val="Hyperlink"/>
            <w:lang w:val="fr-CA"/>
          </w:rPr>
          <w:t>privilège</w:t>
        </w:r>
      </w:hyperlink>
      <w:r w:rsidRPr="00513FF0">
        <w:rPr>
          <w:lang w:val="fr-CA"/>
        </w:rPr>
        <w:t>.</w:t>
      </w:r>
      <w:bookmarkEnd w:id="197"/>
      <w:r w:rsidRPr="00513FF0">
        <w:rPr>
          <w:lang w:val="fr-CA"/>
        </w:rPr>
        <w:t xml:space="preserve"> Elles peuvent envoyer le message que les pairs évaluateurs issus de </w:t>
      </w:r>
      <w:hyperlink r:id="rId50" w:anchor="a16" w:history="1">
        <w:r w:rsidRPr="00513FF0">
          <w:rPr>
            <w:rStyle w:val="Hyperlink"/>
            <w:lang w:val="fr-CA"/>
          </w:rPr>
          <w:t>groupes sous-représentés</w:t>
        </w:r>
      </w:hyperlink>
      <w:r w:rsidRPr="00513FF0">
        <w:rPr>
          <w:lang w:val="fr-CA"/>
        </w:rPr>
        <w:t xml:space="preserve"> ne sont pas les bienvenus dans les comités d’évaluation</w:t>
      </w:r>
      <w:r w:rsidR="002D3055" w:rsidRPr="00513FF0">
        <w:rPr>
          <w:lang w:val="fr-CA"/>
        </w:rPr>
        <w:t>.</w:t>
      </w:r>
      <w:bookmarkEnd w:id="198"/>
      <w:r w:rsidR="002D3055" w:rsidRPr="00513FF0">
        <w:rPr>
          <w:lang w:val="fr-CA"/>
        </w:rPr>
        <w:t xml:space="preserve"> </w:t>
      </w:r>
    </w:p>
    <w:p w14:paraId="6D271391" w14:textId="709AA5BE" w:rsidR="004C17AB" w:rsidRPr="00513FF0" w:rsidRDefault="004C17AB" w:rsidP="004C17AB">
      <w:pPr>
        <w:pStyle w:val="Heading1"/>
        <w:rPr>
          <w:lang w:val="fr-CA"/>
        </w:rPr>
      </w:pPr>
      <w:r w:rsidRPr="00513FF0">
        <w:rPr>
          <w:lang w:val="fr-CA"/>
        </w:rPr>
        <w:t>Conséquences des microagressions 2</w:t>
      </w:r>
    </w:p>
    <w:p w14:paraId="41B1C712" w14:textId="1A2BF897" w:rsidR="002D3055" w:rsidRPr="00513FF0" w:rsidRDefault="00FB697C" w:rsidP="004C17AB">
      <w:pPr>
        <w:rPr>
          <w:lang w:val="fr-CA"/>
        </w:rPr>
      </w:pPr>
      <w:r w:rsidRPr="00513FF0">
        <w:rPr>
          <w:lang w:val="fr-CA"/>
        </w:rPr>
        <w:t xml:space="preserve">Bien que ce soit souvent difficile, réagir aux </w:t>
      </w:r>
      <w:hyperlink r:id="rId51" w:anchor="a25" w:history="1">
        <w:r w:rsidRPr="00513FF0">
          <w:rPr>
            <w:rStyle w:val="Hyperlink"/>
            <w:lang w:val="fr-CA"/>
          </w:rPr>
          <w:t>microagressions</w:t>
        </w:r>
      </w:hyperlink>
      <w:r w:rsidRPr="00513FF0">
        <w:rPr>
          <w:lang w:val="fr-CA"/>
        </w:rPr>
        <w:t xml:space="preserve"> aide à atténuer les préjugés individuels et systémiques. Chaque personne peut user de ses propres stratégies pour réagir aux microagressions, en fonction de son identité et de son </w:t>
      </w:r>
      <w:hyperlink r:id="rId52" w:anchor="a12" w:history="1">
        <w:r w:rsidR="00514D8F" w:rsidRPr="00513FF0">
          <w:rPr>
            <w:rStyle w:val="Hyperlink"/>
            <w:lang w:val="fr-CA"/>
          </w:rPr>
          <w:t xml:space="preserve">expérience </w:t>
        </w:r>
        <w:r w:rsidR="00514D8F">
          <w:rPr>
            <w:rStyle w:val="Hyperlink"/>
            <w:lang w:val="fr-CA"/>
          </w:rPr>
          <w:t>concrète</w:t>
        </w:r>
      </w:hyperlink>
      <w:r w:rsidR="002D3055" w:rsidRPr="00513FF0">
        <w:rPr>
          <w:lang w:val="fr-CA"/>
        </w:rPr>
        <w:t>.</w:t>
      </w:r>
    </w:p>
    <w:p w14:paraId="5C2EC95D" w14:textId="77777777" w:rsidR="002D3055" w:rsidRPr="00513FF0" w:rsidRDefault="002D3055" w:rsidP="00426182">
      <w:pPr>
        <w:pStyle w:val="Heading1"/>
        <w:rPr>
          <w:lang w:val="fr-CA"/>
        </w:rPr>
      </w:pPr>
      <w:bookmarkStart w:id="199" w:name="lt_pId348"/>
      <w:r w:rsidRPr="00513FF0">
        <w:rPr>
          <w:lang w:val="fr-CA"/>
        </w:rPr>
        <w:t xml:space="preserve">Exemple de </w:t>
      </w:r>
      <w:bookmarkEnd w:id="199"/>
      <w:r w:rsidRPr="00513FF0">
        <w:rPr>
          <w:lang w:val="fr-CA"/>
        </w:rPr>
        <w:t>microagression</w:t>
      </w:r>
    </w:p>
    <w:p w14:paraId="323BBA23" w14:textId="0BA196D9" w:rsidR="002D3055" w:rsidRPr="00513FF0" w:rsidRDefault="002D3055" w:rsidP="00E174E6">
      <w:pPr>
        <w:rPr>
          <w:b/>
          <w:bCs/>
          <w:lang w:val="fr-CA"/>
        </w:rPr>
      </w:pPr>
      <w:r w:rsidRPr="00513FF0">
        <w:rPr>
          <w:lang w:val="fr-CA"/>
        </w:rPr>
        <w:t>Un candidat postdoctoral étranger présente ses conclusions de recherche lors d’un séminaire à l’heure du dîner dans une université.</w:t>
      </w:r>
      <w:r w:rsidR="00426182" w:rsidRPr="00513FF0">
        <w:rPr>
          <w:lang w:val="fr-CA"/>
        </w:rPr>
        <w:t xml:space="preserve"> </w:t>
      </w:r>
      <w:r w:rsidRPr="00513FF0">
        <w:rPr>
          <w:lang w:val="fr-CA"/>
        </w:rPr>
        <w:t>Au début de la période de questions, un membre du corps professoral dit :</w:t>
      </w:r>
      <w:r w:rsidR="00426182" w:rsidRPr="00513FF0">
        <w:rPr>
          <w:lang w:val="fr-CA"/>
        </w:rPr>
        <w:t xml:space="preserve"> </w:t>
      </w:r>
      <w:r w:rsidRPr="00513FF0">
        <w:rPr>
          <w:lang w:val="fr-CA"/>
        </w:rPr>
        <w:t>« Je n’ai aucun commentaire à faire sur vos travaux, mais vous devriez peut-être travailler vos compétences en matière de présentation. Avec cet accent, il est impossible de comprendre ce que vous essayez de dire. »</w:t>
      </w:r>
      <w:r w:rsidR="00426182" w:rsidRPr="00513FF0">
        <w:rPr>
          <w:lang w:val="fr-CA"/>
        </w:rPr>
        <w:t xml:space="preserve"> </w:t>
      </w:r>
      <w:r w:rsidRPr="00513FF0">
        <w:rPr>
          <w:lang w:val="fr-CA"/>
        </w:rPr>
        <w:t xml:space="preserve">Pris isolément, un cas de microagression peut sembler insignifiant. Cependant, les personnes de groupes sous-représentés sont souvent victimes de microagressions répétées, ce qui </w:t>
      </w:r>
      <w:r w:rsidRPr="00513FF0">
        <w:rPr>
          <w:lang w:val="fr-CA"/>
        </w:rPr>
        <w:lastRenderedPageBreak/>
        <w:t>affecte leur santé émotionnelle, sociale, psychologique et physique.</w:t>
      </w:r>
      <w:r w:rsidR="00426182" w:rsidRPr="00513FF0">
        <w:rPr>
          <w:lang w:val="fr-CA"/>
        </w:rPr>
        <w:t xml:space="preserve"> </w:t>
      </w:r>
      <w:r w:rsidRPr="00513FF0">
        <w:rPr>
          <w:lang w:val="fr-CA"/>
        </w:rPr>
        <w:t>Cela peut également nuire à leur productivité et à leur sentiment d’appartenance dans le contexte de la recherche</w:t>
      </w:r>
      <w:bookmarkStart w:id="200" w:name="lt_pId357"/>
      <w:r w:rsidRPr="00513FF0">
        <w:rPr>
          <w:lang w:val="fr-CA"/>
        </w:rPr>
        <w:t>.</w:t>
      </w:r>
      <w:bookmarkEnd w:id="200"/>
    </w:p>
    <w:p w14:paraId="6B1C3086" w14:textId="67E10139" w:rsidR="00426182" w:rsidRPr="00513FF0" w:rsidRDefault="00426182" w:rsidP="00426182">
      <w:pPr>
        <w:pStyle w:val="Heading1"/>
        <w:rPr>
          <w:lang w:val="fr-CA"/>
        </w:rPr>
      </w:pPr>
      <w:bookmarkStart w:id="201" w:name="lt_pId359"/>
      <w:r w:rsidRPr="00513FF0">
        <w:rPr>
          <w:lang w:val="fr-CA"/>
        </w:rPr>
        <w:t>Première étape : décider 1</w:t>
      </w:r>
    </w:p>
    <w:p w14:paraId="34E64065" w14:textId="3C1AD981" w:rsidR="002D3055" w:rsidRPr="00513FF0" w:rsidRDefault="002D3055" w:rsidP="00736988">
      <w:pPr>
        <w:rPr>
          <w:b/>
          <w:bCs/>
          <w:lang w:val="fr-CA"/>
        </w:rPr>
      </w:pPr>
      <w:r w:rsidRPr="00513FF0">
        <w:rPr>
          <w:lang w:val="fr-CA"/>
        </w:rPr>
        <w:t>Que faire en cas de microagression?</w:t>
      </w:r>
      <w:bookmarkEnd w:id="201"/>
      <w:r w:rsidR="00426182" w:rsidRPr="00513FF0">
        <w:rPr>
          <w:lang w:val="fr-CA"/>
        </w:rPr>
        <w:t xml:space="preserve"> </w:t>
      </w:r>
      <w:r w:rsidRPr="00513FF0">
        <w:rPr>
          <w:lang w:val="fr-CA"/>
        </w:rPr>
        <w:t xml:space="preserve">Voyons maintenant les mesures que vous pouvez prendre lorsque vous êtes </w:t>
      </w:r>
      <w:r w:rsidR="00EF5446" w:rsidRPr="00513FF0">
        <w:rPr>
          <w:lang w:val="fr-CA"/>
        </w:rPr>
        <w:t xml:space="preserve">témoin d’une </w:t>
      </w:r>
      <w:hyperlink r:id="rId53" w:anchor="a25" w:history="1">
        <w:r w:rsidR="00EF5446" w:rsidRPr="00513FF0">
          <w:rPr>
            <w:rStyle w:val="Hyperlink"/>
            <w:lang w:val="fr-CA"/>
          </w:rPr>
          <w:t>microagression</w:t>
        </w:r>
      </w:hyperlink>
      <w:r w:rsidR="00EF5446" w:rsidRPr="00513FF0">
        <w:rPr>
          <w:lang w:val="fr-CA"/>
        </w:rPr>
        <w:t>.</w:t>
      </w:r>
      <w:r w:rsidR="00736988" w:rsidRPr="00513FF0">
        <w:rPr>
          <w:lang w:val="fr-CA"/>
        </w:rPr>
        <w:t xml:space="preserve"> </w:t>
      </w:r>
      <w:r w:rsidRPr="00513FF0">
        <w:rPr>
          <w:lang w:val="fr-CA"/>
        </w:rPr>
        <w:t>Première étape : décider si une intervention est justifiée</w:t>
      </w:r>
      <w:r w:rsidR="00736988" w:rsidRPr="00513FF0">
        <w:rPr>
          <w:lang w:val="fr-CA"/>
        </w:rPr>
        <w:t xml:space="preserve">. </w:t>
      </w:r>
      <w:r w:rsidRPr="00513FF0">
        <w:rPr>
          <w:lang w:val="fr-CA"/>
        </w:rPr>
        <w:t xml:space="preserve">La personne la mieux placée pour juger si une phrase, un ton ou un comportement constitue une microagression est celle qui en est la cible. Ce n’est pas l’intention derrière une phrase ou un geste qui compte, mais plutôt ses effets sur la personne qui en est la cible. </w:t>
      </w:r>
    </w:p>
    <w:p w14:paraId="4A6C654C" w14:textId="0AE05E37" w:rsidR="00736988" w:rsidRPr="00513FF0" w:rsidRDefault="00736988" w:rsidP="00736988">
      <w:pPr>
        <w:pStyle w:val="Heading1"/>
        <w:rPr>
          <w:lang w:val="fr-CA"/>
        </w:rPr>
      </w:pPr>
      <w:r w:rsidRPr="00513FF0">
        <w:rPr>
          <w:lang w:val="fr-CA"/>
        </w:rPr>
        <w:t>Première étape : décider 2</w:t>
      </w:r>
    </w:p>
    <w:p w14:paraId="77045C50" w14:textId="0E9D6DFC" w:rsidR="002D3055" w:rsidRPr="00513FF0" w:rsidRDefault="002D3055" w:rsidP="00E174E6">
      <w:pPr>
        <w:rPr>
          <w:b/>
          <w:bCs/>
          <w:lang w:val="fr-CA"/>
        </w:rPr>
      </w:pPr>
      <w:r w:rsidRPr="00513FF0">
        <w:rPr>
          <w:lang w:val="fr-CA"/>
        </w:rPr>
        <w:t xml:space="preserve">Prenez un moment pour déterminer si le propos ou le geste était </w:t>
      </w:r>
      <w:r w:rsidR="00144EDF" w:rsidRPr="00513FF0">
        <w:rPr>
          <w:lang w:val="fr-CA"/>
        </w:rPr>
        <w:t xml:space="preserve">une </w:t>
      </w:r>
      <w:hyperlink r:id="rId54" w:anchor="a25" w:history="1">
        <w:r w:rsidR="00144EDF" w:rsidRPr="00513FF0">
          <w:rPr>
            <w:rStyle w:val="Hyperlink"/>
            <w:lang w:val="fr-CA"/>
          </w:rPr>
          <w:t>microagression</w:t>
        </w:r>
      </w:hyperlink>
      <w:r w:rsidRPr="00513FF0">
        <w:rPr>
          <w:lang w:val="fr-CA"/>
        </w:rPr>
        <w:t>. Si vous avez été témoin de la scène, essayez d’interpréter la réaction de la personne visée par le propos ou le geste</w:t>
      </w:r>
      <w:bookmarkStart w:id="202" w:name="lt_pId367"/>
      <w:r w:rsidRPr="00513FF0">
        <w:rPr>
          <w:lang w:val="fr-CA"/>
        </w:rPr>
        <w:t>.</w:t>
      </w:r>
      <w:bookmarkEnd w:id="202"/>
      <w:r w:rsidRPr="00513FF0">
        <w:rPr>
          <w:lang w:val="fr-CA"/>
        </w:rPr>
        <w:t xml:space="preserve"> </w:t>
      </w:r>
    </w:p>
    <w:p w14:paraId="772541B5" w14:textId="3145FF99" w:rsidR="00736988" w:rsidRPr="00513FF0" w:rsidRDefault="00736988" w:rsidP="00736988">
      <w:pPr>
        <w:pStyle w:val="Heading1"/>
        <w:rPr>
          <w:lang w:val="fr-CA"/>
        </w:rPr>
      </w:pPr>
      <w:r w:rsidRPr="00513FF0">
        <w:rPr>
          <w:lang w:val="fr-CA"/>
        </w:rPr>
        <w:t>Première étape : décider 3</w:t>
      </w:r>
    </w:p>
    <w:p w14:paraId="3CD65086" w14:textId="4523BE20" w:rsidR="002D3055" w:rsidRPr="00513FF0" w:rsidRDefault="002D3055" w:rsidP="00E174E6">
      <w:pPr>
        <w:rPr>
          <w:b/>
          <w:bCs/>
          <w:lang w:val="fr-CA"/>
        </w:rPr>
      </w:pPr>
      <w:r w:rsidRPr="00513FF0">
        <w:rPr>
          <w:lang w:val="fr-CA"/>
        </w:rPr>
        <w:t xml:space="preserve">Évaluez les conséquences potentielles avant d’intervenir. Prendre la parole peut être un </w:t>
      </w:r>
      <w:bookmarkStart w:id="203" w:name="lt_pId371"/>
      <w:r w:rsidR="008E3A7F" w:rsidRPr="00513FF0">
        <w:rPr>
          <w:lang w:val="fr-CA"/>
        </w:rPr>
        <w:t xml:space="preserve">acte </w:t>
      </w:r>
      <w:hyperlink r:id="rId55" w:anchor="a27" w:history="1">
        <w:r w:rsidR="008E3A7F" w:rsidRPr="00513FF0">
          <w:rPr>
            <w:rStyle w:val="Hyperlink"/>
            <w:lang w:val="fr-CA"/>
          </w:rPr>
          <w:t>d’allégeance</w:t>
        </w:r>
      </w:hyperlink>
      <w:r w:rsidR="008E3A7F" w:rsidRPr="00513FF0">
        <w:rPr>
          <w:lang w:val="fr-CA"/>
        </w:rPr>
        <w:t xml:space="preserve"> et de solidarité, mais cela peut aussi marginaliser davantage la personne victime de la </w:t>
      </w:r>
      <w:hyperlink r:id="rId56" w:anchor="a25" w:history="1">
        <w:r w:rsidR="008E3A7F" w:rsidRPr="00513FF0">
          <w:rPr>
            <w:rStyle w:val="Hyperlink"/>
            <w:lang w:val="fr-CA"/>
          </w:rPr>
          <w:t>microagression</w:t>
        </w:r>
      </w:hyperlink>
      <w:r w:rsidRPr="00513FF0">
        <w:rPr>
          <w:lang w:val="fr-CA"/>
        </w:rPr>
        <w:t>.</w:t>
      </w:r>
      <w:bookmarkEnd w:id="203"/>
    </w:p>
    <w:p w14:paraId="1779C3BB" w14:textId="2B59C561" w:rsidR="00E77983" w:rsidRPr="00513FF0" w:rsidRDefault="00E77983" w:rsidP="00E77983">
      <w:pPr>
        <w:pStyle w:val="Heading1"/>
        <w:rPr>
          <w:lang w:val="fr-CA"/>
        </w:rPr>
      </w:pPr>
      <w:bookmarkStart w:id="204" w:name="lt_pId373"/>
      <w:r w:rsidRPr="00513FF0">
        <w:rPr>
          <w:lang w:val="fr-CA"/>
        </w:rPr>
        <w:t>Deuxième étape : intervenir 1</w:t>
      </w:r>
    </w:p>
    <w:bookmarkEnd w:id="204"/>
    <w:p w14:paraId="0C78F884" w14:textId="69E4EF34" w:rsidR="002D3055" w:rsidRPr="00513FF0" w:rsidRDefault="002D3055" w:rsidP="00E174E6">
      <w:pPr>
        <w:rPr>
          <w:lang w:val="fr-CA"/>
        </w:rPr>
      </w:pPr>
      <w:r w:rsidRPr="00513FF0">
        <w:rPr>
          <w:lang w:val="fr-CA"/>
        </w:rPr>
        <w:t xml:space="preserve">Les </w:t>
      </w:r>
      <w:hyperlink r:id="rId57" w:anchor="a25" w:history="1">
        <w:r w:rsidRPr="00065A24">
          <w:rPr>
            <w:rStyle w:val="Hyperlink"/>
            <w:lang w:val="fr-CA"/>
          </w:rPr>
          <w:t>microagressions</w:t>
        </w:r>
      </w:hyperlink>
      <w:r w:rsidRPr="00513FF0">
        <w:rPr>
          <w:lang w:val="fr-CA"/>
        </w:rPr>
        <w:t xml:space="preserve"> peuvent être subtiles et ne pas toujours être perçues comme un conflit.</w:t>
      </w:r>
      <w:r w:rsidR="00E77983" w:rsidRPr="00513FF0">
        <w:rPr>
          <w:lang w:val="fr-CA"/>
        </w:rPr>
        <w:t xml:space="preserve"> </w:t>
      </w:r>
      <w:r w:rsidRPr="00513FF0">
        <w:rPr>
          <w:lang w:val="fr-CA"/>
        </w:rPr>
        <w:t>Il est important de prendre en compte les politiques et directives de l’organisme en matière de gestion des conflits, notamment dans le cadre d’un processus d’évaluation, afin d’intervenir adéquatement. Prenez le temps de consulter ces documents</w:t>
      </w:r>
      <w:bookmarkStart w:id="205" w:name="lt_pId377"/>
      <w:r w:rsidRPr="00513FF0">
        <w:rPr>
          <w:lang w:val="fr-CA"/>
        </w:rPr>
        <w:t>.</w:t>
      </w:r>
      <w:bookmarkEnd w:id="205"/>
    </w:p>
    <w:p w14:paraId="6B0E2269" w14:textId="7B26CCA2" w:rsidR="00E77983" w:rsidRPr="00513FF0" w:rsidRDefault="00E77983" w:rsidP="00E77983">
      <w:pPr>
        <w:pStyle w:val="Heading1"/>
        <w:rPr>
          <w:lang w:val="fr-CA"/>
        </w:rPr>
      </w:pPr>
      <w:r w:rsidRPr="00513FF0">
        <w:rPr>
          <w:lang w:val="fr-CA"/>
        </w:rPr>
        <w:t>Deuxième étape : intervenir 2</w:t>
      </w:r>
    </w:p>
    <w:p w14:paraId="7CEFD80C" w14:textId="13AD4A4C" w:rsidR="002D3055" w:rsidRPr="00513FF0" w:rsidRDefault="002D3055" w:rsidP="00E174E6">
      <w:pPr>
        <w:rPr>
          <w:u w:val="single"/>
          <w:lang w:val="fr-CA"/>
        </w:rPr>
      </w:pPr>
      <w:r w:rsidRPr="00513FF0">
        <w:rPr>
          <w:lang w:val="fr-CA"/>
        </w:rPr>
        <w:t xml:space="preserve">Il existe différentes techniques pour intervenir en cas </w:t>
      </w:r>
      <w:r w:rsidR="00CD34CF" w:rsidRPr="00513FF0">
        <w:rPr>
          <w:lang w:val="fr-CA"/>
        </w:rPr>
        <w:t xml:space="preserve">de </w:t>
      </w:r>
      <w:hyperlink r:id="rId58" w:anchor="a25" w:history="1">
        <w:r w:rsidR="00CD34CF" w:rsidRPr="00513FF0">
          <w:rPr>
            <w:rStyle w:val="Hyperlink"/>
            <w:lang w:val="fr-CA"/>
          </w:rPr>
          <w:t>microagression</w:t>
        </w:r>
      </w:hyperlink>
      <w:r w:rsidRPr="00513FF0">
        <w:rPr>
          <w:lang w:val="fr-CA"/>
        </w:rPr>
        <w:t>. Votre choix dépendra de votre degré d’aisance, de vos connaissances, de votre expérience, de votre familiarité avec les autres membres du comité d’évaluation, de votre rôle au sein du comité et du contexte de la microagression</w:t>
      </w:r>
      <w:bookmarkStart w:id="206" w:name="lt_pId382"/>
      <w:r w:rsidRPr="00513FF0">
        <w:rPr>
          <w:lang w:val="fr-CA"/>
        </w:rPr>
        <w:t>.</w:t>
      </w:r>
      <w:bookmarkEnd w:id="206"/>
    </w:p>
    <w:p w14:paraId="68DEAB03" w14:textId="790AFD86" w:rsidR="00ED512F" w:rsidRPr="00C351D6" w:rsidRDefault="00ED512F" w:rsidP="00ED512F">
      <w:pPr>
        <w:pStyle w:val="Heading1"/>
        <w:rPr>
          <w:lang w:val="fr-CA"/>
        </w:rPr>
      </w:pPr>
      <w:bookmarkStart w:id="207" w:name="lt_pId384"/>
      <w:r w:rsidRPr="00513FF0">
        <w:rPr>
          <w:lang w:val="fr-CA"/>
        </w:rPr>
        <w:lastRenderedPageBreak/>
        <w:t xml:space="preserve">Deuxième étape : </w:t>
      </w:r>
      <w:r w:rsidR="00E6464E" w:rsidRPr="00C351D6">
        <w:rPr>
          <w:lang w:val="fr-CA"/>
        </w:rPr>
        <w:t>méthodes</w:t>
      </w:r>
    </w:p>
    <w:bookmarkEnd w:id="207"/>
    <w:p w14:paraId="7602FFF1" w14:textId="7CA9248B" w:rsidR="002D3055" w:rsidRPr="00513FF0" w:rsidRDefault="002D3055" w:rsidP="00E174E6">
      <w:pPr>
        <w:rPr>
          <w:lang w:val="fr-CA"/>
        </w:rPr>
      </w:pPr>
      <w:r w:rsidRPr="00513FF0">
        <w:rPr>
          <w:lang w:val="fr-CA"/>
        </w:rPr>
        <w:t xml:space="preserve">Il existe de nombreuses façons de réagir à une </w:t>
      </w:r>
      <w:hyperlink r:id="rId59" w:anchor="a25" w:history="1">
        <w:r w:rsidRPr="00065A24">
          <w:rPr>
            <w:rStyle w:val="Hyperlink"/>
            <w:lang w:val="fr-CA"/>
          </w:rPr>
          <w:t>microagression</w:t>
        </w:r>
      </w:hyperlink>
      <w:r w:rsidRPr="00513FF0">
        <w:rPr>
          <w:lang w:val="fr-CA"/>
        </w:rPr>
        <w:t>, que ce soit en tant que témoin ou en tant que victime. Vous pourriez</w:t>
      </w:r>
      <w:bookmarkStart w:id="208" w:name="lt_pId386"/>
      <w:r w:rsidRPr="00513FF0">
        <w:rPr>
          <w:lang w:val="fr-CA"/>
        </w:rPr>
        <w:t> :</w:t>
      </w:r>
      <w:bookmarkEnd w:id="208"/>
    </w:p>
    <w:p w14:paraId="6C21BD74" w14:textId="77777777" w:rsidR="002D3055" w:rsidRPr="00513FF0" w:rsidRDefault="002D3055" w:rsidP="00ED512F">
      <w:pPr>
        <w:pStyle w:val="ListParagraph"/>
        <w:numPr>
          <w:ilvl w:val="0"/>
          <w:numId w:val="38"/>
        </w:numPr>
        <w:rPr>
          <w:lang w:val="fr-CA"/>
        </w:rPr>
      </w:pPr>
      <w:r w:rsidRPr="00513FF0">
        <w:rPr>
          <w:lang w:val="fr-CA"/>
        </w:rPr>
        <w:t>Reconnaître et clarifier : attirer l’attention sur la microagression et demander des éclaircissements (p. ex. « Je trouverais utile que vous clarifiiez ce que vous entendez par là »)</w:t>
      </w:r>
    </w:p>
    <w:p w14:paraId="656E038C" w14:textId="77777777" w:rsidR="002D3055" w:rsidRPr="00513FF0" w:rsidRDefault="002D3055" w:rsidP="00ED512F">
      <w:pPr>
        <w:pStyle w:val="ListParagraph"/>
        <w:numPr>
          <w:ilvl w:val="0"/>
          <w:numId w:val="38"/>
        </w:numPr>
        <w:rPr>
          <w:lang w:val="fr-CA"/>
        </w:rPr>
      </w:pPr>
      <w:r w:rsidRPr="00513FF0">
        <w:rPr>
          <w:lang w:val="fr-CA"/>
        </w:rPr>
        <w:t>Communiquer de manière réfléchie : utiliser des phrases commençant par « je » pour exprimer votre préoccupation et donner votre point de vue sans blâmer ni accuser</w:t>
      </w:r>
    </w:p>
    <w:p w14:paraId="488B0E2A" w14:textId="77777777" w:rsidR="002D3055" w:rsidRPr="00513FF0" w:rsidRDefault="002D3055" w:rsidP="00ED512F">
      <w:pPr>
        <w:pStyle w:val="ListParagraph"/>
        <w:numPr>
          <w:ilvl w:val="0"/>
          <w:numId w:val="38"/>
        </w:numPr>
        <w:rPr>
          <w:lang w:val="fr-CA"/>
        </w:rPr>
      </w:pPr>
      <w:bookmarkStart w:id="209" w:name="lt_pId389"/>
      <w:r w:rsidRPr="00513FF0">
        <w:rPr>
          <w:lang w:val="fr-CA"/>
        </w:rPr>
        <w:t>Suggérer de faire une pause pour réfléchir : proposer une pause à la discussion et s’assurer que la personne concernée a la possibilité de s’éloigner si nécessaire.</w:t>
      </w:r>
      <w:bookmarkEnd w:id="209"/>
    </w:p>
    <w:p w14:paraId="19AB4836" w14:textId="77777777" w:rsidR="002D3055" w:rsidRPr="00513FF0" w:rsidRDefault="002D3055" w:rsidP="00ED512F">
      <w:pPr>
        <w:pStyle w:val="ListParagraph"/>
        <w:numPr>
          <w:ilvl w:val="0"/>
          <w:numId w:val="38"/>
        </w:numPr>
        <w:rPr>
          <w:b/>
          <w:bCs/>
          <w:lang w:val="fr-CA"/>
        </w:rPr>
      </w:pPr>
      <w:r w:rsidRPr="00513FF0">
        <w:rPr>
          <w:lang w:val="fr-CA"/>
        </w:rPr>
        <w:t>Obtenir du soutien : impliquer le président du comité ou le personnel de l’organisme pour gérer la situation de manière appropriée, conformément aux politiques de l’organisme (le cas échéant).</w:t>
      </w:r>
    </w:p>
    <w:p w14:paraId="5EB0CB5E" w14:textId="77777777" w:rsidR="002D3055" w:rsidRPr="00513FF0" w:rsidRDefault="002D3055" w:rsidP="00ED512F">
      <w:pPr>
        <w:pStyle w:val="Heading1"/>
        <w:rPr>
          <w:lang w:val="fr-CA"/>
        </w:rPr>
      </w:pPr>
      <w:r w:rsidRPr="00513FF0">
        <w:rPr>
          <w:lang w:val="fr-CA"/>
        </w:rPr>
        <w:t>Troisième étape : faire le point</w:t>
      </w:r>
    </w:p>
    <w:p w14:paraId="3F76BE93" w14:textId="77777777" w:rsidR="002D3055" w:rsidRPr="00513FF0" w:rsidRDefault="002D3055" w:rsidP="00E174E6">
      <w:pPr>
        <w:rPr>
          <w:b/>
          <w:bCs/>
          <w:lang w:val="fr-CA"/>
        </w:rPr>
      </w:pPr>
      <w:r w:rsidRPr="00513FF0">
        <w:rPr>
          <w:lang w:val="fr-CA"/>
        </w:rPr>
        <w:t>Que vous choisissiez d’intervenir ou non, prenez le temps de réfléchir à la situation. Si possible, discutez-en avec un collègue ou un ami de confiance</w:t>
      </w:r>
      <w:bookmarkStart w:id="210" w:name="lt_pId395"/>
      <w:r w:rsidRPr="00513FF0">
        <w:rPr>
          <w:lang w:val="fr-CA"/>
        </w:rPr>
        <w:t>.</w:t>
      </w:r>
      <w:bookmarkEnd w:id="210"/>
    </w:p>
    <w:p w14:paraId="02751637" w14:textId="3A04CEF9" w:rsidR="005D650B" w:rsidRPr="00513FF0" w:rsidRDefault="005D650B" w:rsidP="005D650B">
      <w:pPr>
        <w:pStyle w:val="Heading1"/>
        <w:rPr>
          <w:lang w:val="fr-CA"/>
        </w:rPr>
      </w:pPr>
      <w:bookmarkStart w:id="211" w:name="lt_pId397"/>
      <w:r w:rsidRPr="00513FF0">
        <w:rPr>
          <w:lang w:val="fr-CA"/>
        </w:rPr>
        <w:t>Commettre une microagression 1</w:t>
      </w:r>
    </w:p>
    <w:bookmarkEnd w:id="211"/>
    <w:p w14:paraId="296FF300" w14:textId="195B11D1" w:rsidR="002D3055" w:rsidRPr="00513FF0" w:rsidRDefault="002D3055" w:rsidP="00E174E6">
      <w:pPr>
        <w:rPr>
          <w:b/>
          <w:bCs/>
          <w:lang w:val="fr-CA"/>
        </w:rPr>
      </w:pPr>
      <w:r w:rsidRPr="00513FF0">
        <w:rPr>
          <w:lang w:val="fr-CA"/>
        </w:rPr>
        <w:t xml:space="preserve">Si quelqu’un affirme que vous avez commis </w:t>
      </w:r>
      <w:r w:rsidR="001B4D6E" w:rsidRPr="00513FF0">
        <w:rPr>
          <w:lang w:val="fr-CA"/>
        </w:rPr>
        <w:t xml:space="preserve">une </w:t>
      </w:r>
      <w:hyperlink r:id="rId60" w:anchor="a25" w:history="1">
        <w:r w:rsidR="001B4D6E" w:rsidRPr="00513FF0">
          <w:rPr>
            <w:rStyle w:val="Hyperlink"/>
            <w:lang w:val="fr-CA"/>
          </w:rPr>
          <w:t>microagression</w:t>
        </w:r>
      </w:hyperlink>
      <w:r w:rsidR="001B4D6E" w:rsidRPr="00513FF0">
        <w:rPr>
          <w:lang w:val="fr-CA"/>
        </w:rPr>
        <w:t xml:space="preserve"> </w:t>
      </w:r>
      <w:r w:rsidRPr="00513FF0">
        <w:rPr>
          <w:lang w:val="fr-CA"/>
        </w:rPr>
        <w:t>au cours du processus d’évaluation par les pairs, faites une pause.</w:t>
      </w:r>
      <w:r w:rsidR="00F85BE6" w:rsidRPr="00513FF0">
        <w:rPr>
          <w:lang w:val="fr-CA"/>
        </w:rPr>
        <w:t xml:space="preserve"> </w:t>
      </w:r>
      <w:r w:rsidRPr="00513FF0">
        <w:rPr>
          <w:lang w:val="fr-CA"/>
        </w:rPr>
        <w:t>Il est facile de rejeter les microagressions en les qualifiant de sensibilité excessive ou de rancune, mais les microagressions font partie d’un schème de préjugés qui se répète sans cesse. Il est important de s’arrêter et de réfléchir</w:t>
      </w:r>
      <w:bookmarkStart w:id="212" w:name="lt_pId401"/>
      <w:r w:rsidRPr="00513FF0">
        <w:rPr>
          <w:lang w:val="fr-CA"/>
        </w:rPr>
        <w:t>.</w:t>
      </w:r>
      <w:bookmarkEnd w:id="212"/>
      <w:r w:rsidRPr="00513FF0">
        <w:rPr>
          <w:lang w:val="fr-CA"/>
        </w:rPr>
        <w:t xml:space="preserve"> </w:t>
      </w:r>
    </w:p>
    <w:p w14:paraId="5FA6322C" w14:textId="5DF7DFBB" w:rsidR="005D650B" w:rsidRPr="00513FF0" w:rsidRDefault="005D650B" w:rsidP="005D650B">
      <w:pPr>
        <w:pStyle w:val="Heading1"/>
        <w:rPr>
          <w:lang w:val="fr-CA"/>
        </w:rPr>
      </w:pPr>
      <w:bookmarkStart w:id="213" w:name="lt_pId403"/>
      <w:r w:rsidRPr="00513FF0">
        <w:rPr>
          <w:lang w:val="fr-CA"/>
        </w:rPr>
        <w:t>Commettre une microagression 2</w:t>
      </w:r>
    </w:p>
    <w:bookmarkEnd w:id="213"/>
    <w:p w14:paraId="2EE91B2B" w14:textId="33A27AF5" w:rsidR="002D3055" w:rsidRPr="00513FF0" w:rsidRDefault="002D3055" w:rsidP="00E174E6">
      <w:pPr>
        <w:rPr>
          <w:b/>
          <w:bCs/>
          <w:lang w:val="fr-CA"/>
        </w:rPr>
      </w:pPr>
      <w:r w:rsidRPr="00513FF0">
        <w:rPr>
          <w:lang w:val="fr-CA"/>
        </w:rPr>
        <w:t xml:space="preserve">En écoutant et en vous excusant pour les conséquences de vos propos ou gestes, peu importe quelles étaient vos intentions, vous montrez aux autres membres du comité que vous assumez vos responsabilités et que vous adhérez au principe selon lequel la recherche doit être équitable, inclusive et diversifiée. Faites le point après l’incident afin de réaffirmer votre engagement en faveur d’une juste gestion </w:t>
      </w:r>
      <w:bookmarkStart w:id="214" w:name="lt_pId405"/>
      <w:r w:rsidR="00441AA2" w:rsidRPr="00513FF0">
        <w:rPr>
          <w:lang w:val="fr-CA"/>
        </w:rPr>
        <w:t xml:space="preserve">des </w:t>
      </w:r>
      <w:hyperlink r:id="rId61" w:anchor="a25" w:history="1">
        <w:r w:rsidR="00441AA2" w:rsidRPr="00513FF0">
          <w:rPr>
            <w:rStyle w:val="Hyperlink"/>
            <w:lang w:val="fr-CA"/>
          </w:rPr>
          <w:t>microagressions</w:t>
        </w:r>
      </w:hyperlink>
      <w:r w:rsidRPr="00513FF0">
        <w:rPr>
          <w:lang w:val="fr-CA"/>
        </w:rPr>
        <w:t>.</w:t>
      </w:r>
      <w:bookmarkEnd w:id="214"/>
    </w:p>
    <w:p w14:paraId="3FC3FF7C" w14:textId="77777777" w:rsidR="002D3055" w:rsidRPr="00513FF0" w:rsidRDefault="002D3055" w:rsidP="005D650B">
      <w:pPr>
        <w:pStyle w:val="Heading1"/>
        <w:rPr>
          <w:rStyle w:val="Strong"/>
          <w:b/>
          <w:bCs/>
          <w:lang w:val="fr-CA"/>
        </w:rPr>
      </w:pPr>
      <w:bookmarkStart w:id="215" w:name="lt_pId407"/>
      <w:r w:rsidRPr="00513FF0">
        <w:rPr>
          <w:rStyle w:val="Strong"/>
          <w:b/>
          <w:bCs/>
          <w:lang w:val="fr-CA"/>
        </w:rPr>
        <w:lastRenderedPageBreak/>
        <w:t>Conclusion</w:t>
      </w:r>
      <w:bookmarkEnd w:id="215"/>
    </w:p>
    <w:p w14:paraId="5D2D2118" w14:textId="77777777" w:rsidR="002D3055" w:rsidRPr="00513FF0" w:rsidRDefault="002D3055" w:rsidP="000101A8">
      <w:pPr>
        <w:pStyle w:val="Heading2"/>
        <w:rPr>
          <w:rStyle w:val="Strong"/>
          <w:b/>
          <w:bCs/>
          <w:lang w:val="fr-CA"/>
        </w:rPr>
      </w:pPr>
      <w:bookmarkStart w:id="216" w:name="lt_pId409"/>
      <w:r w:rsidRPr="00513FF0">
        <w:rPr>
          <w:rStyle w:val="Strong"/>
          <w:b/>
          <w:bCs/>
          <w:lang w:val="fr-CA"/>
        </w:rPr>
        <w:t>Récapitulons</w:t>
      </w:r>
      <w:bookmarkEnd w:id="216"/>
    </w:p>
    <w:p w14:paraId="275B88E3" w14:textId="77777777" w:rsidR="002D3055" w:rsidRPr="00513FF0" w:rsidRDefault="002D3055" w:rsidP="00E174E6">
      <w:pPr>
        <w:rPr>
          <w:lang w:val="fr-CA"/>
        </w:rPr>
      </w:pPr>
      <w:r w:rsidRPr="00513FF0">
        <w:rPr>
          <w:lang w:val="fr-CA"/>
        </w:rPr>
        <w:t>Au terme du présent module, vous devriez comprendre que :</w:t>
      </w:r>
    </w:p>
    <w:p w14:paraId="7D9F26E8" w14:textId="77777777" w:rsidR="002D3055" w:rsidRPr="00513FF0" w:rsidRDefault="002D3055" w:rsidP="005D650B">
      <w:pPr>
        <w:pStyle w:val="ListParagraph"/>
        <w:numPr>
          <w:ilvl w:val="0"/>
          <w:numId w:val="39"/>
        </w:numPr>
        <w:rPr>
          <w:lang w:val="fr-CA"/>
        </w:rPr>
      </w:pPr>
      <w:r w:rsidRPr="00513FF0">
        <w:rPr>
          <w:lang w:val="fr-CA"/>
        </w:rPr>
        <w:t>Les préjugés peuvent influencer divers aspects du processus d’évaluation par les pairs (lettres de recommandation, indicateurs traditionnels, évaluation des retombées potentielles, etc.).</w:t>
      </w:r>
    </w:p>
    <w:p w14:paraId="5DA48632" w14:textId="77777777" w:rsidR="002D3055" w:rsidRPr="00513FF0" w:rsidRDefault="002D3055" w:rsidP="005D650B">
      <w:pPr>
        <w:pStyle w:val="ListParagraph"/>
        <w:numPr>
          <w:ilvl w:val="0"/>
          <w:numId w:val="39"/>
        </w:numPr>
        <w:rPr>
          <w:lang w:val="fr-CA"/>
        </w:rPr>
      </w:pPr>
      <w:r w:rsidRPr="00513FF0">
        <w:rPr>
          <w:lang w:val="fr-CA"/>
        </w:rPr>
        <w:t>De nombreuses techniques peuvent aider à écarter les préjugés de l’évaluation par les pairs, notamment l’auto-évaluation, l’élaboration d’un plan, l’application des principes de la DORA et la réflexion.</w:t>
      </w:r>
    </w:p>
    <w:p w14:paraId="0BBD0602" w14:textId="77777777" w:rsidR="002D3055" w:rsidRPr="00513FF0" w:rsidRDefault="002D3055" w:rsidP="005D650B">
      <w:pPr>
        <w:pStyle w:val="ListParagraph"/>
        <w:numPr>
          <w:ilvl w:val="0"/>
          <w:numId w:val="39"/>
        </w:numPr>
        <w:rPr>
          <w:rStyle w:val="Strong"/>
          <w:lang w:val="fr-CA"/>
        </w:rPr>
      </w:pPr>
      <w:r w:rsidRPr="00513FF0">
        <w:rPr>
          <w:lang w:val="fr-CA"/>
        </w:rPr>
        <w:t>Il est essentiel d’être conscient de ses propres préjugés pour pouvoir les combattre. Les pairs évaluateurs doivent s’efforcer de mener des discussions inclusives et s’exprimer si des préjugés se manifestent</w:t>
      </w:r>
      <w:bookmarkStart w:id="217" w:name="lt_pId414"/>
      <w:r w:rsidRPr="00513FF0">
        <w:rPr>
          <w:lang w:val="fr-CA"/>
        </w:rPr>
        <w:t>.</w:t>
      </w:r>
      <w:bookmarkEnd w:id="217"/>
    </w:p>
    <w:p w14:paraId="6D9C2608" w14:textId="77777777" w:rsidR="002D3055" w:rsidRPr="00513FF0" w:rsidRDefault="002D3055" w:rsidP="005D650B">
      <w:pPr>
        <w:pStyle w:val="Heading1"/>
        <w:rPr>
          <w:lang w:val="fr-CA"/>
        </w:rPr>
      </w:pPr>
      <w:bookmarkStart w:id="218" w:name="lt_pId416"/>
      <w:r w:rsidRPr="00513FF0">
        <w:rPr>
          <w:lang w:val="fr-CA"/>
        </w:rPr>
        <w:t>Prochaines étapes</w:t>
      </w:r>
      <w:bookmarkEnd w:id="218"/>
    </w:p>
    <w:p w14:paraId="1A6C00A9" w14:textId="77777777" w:rsidR="002D3055" w:rsidRPr="00513FF0" w:rsidRDefault="002D3055" w:rsidP="00E174E6">
      <w:pPr>
        <w:rPr>
          <w:lang w:val="fr-CA"/>
        </w:rPr>
      </w:pPr>
      <w:bookmarkStart w:id="219" w:name="lt_pId417"/>
      <w:r w:rsidRPr="00513FF0">
        <w:rPr>
          <w:lang w:val="fr-CA"/>
        </w:rPr>
        <w:t>Si vous souhaitez en savoir plus sur les thèmes abordés dans nos modules de formation, voici quelques suggestions :</w:t>
      </w:r>
      <w:bookmarkEnd w:id="219"/>
    </w:p>
    <w:p w14:paraId="08181B99" w14:textId="77777777" w:rsidR="00513FF0" w:rsidRPr="00513FF0" w:rsidRDefault="00513FF0" w:rsidP="00513FF0">
      <w:pPr>
        <w:pStyle w:val="ListParagraph"/>
        <w:numPr>
          <w:ilvl w:val="0"/>
          <w:numId w:val="27"/>
        </w:numPr>
        <w:spacing w:before="240" w:after="120"/>
        <w:rPr>
          <w:b/>
          <w:bCs/>
          <w:lang w:val="fr-CA"/>
        </w:rPr>
      </w:pPr>
      <w:bookmarkStart w:id="220" w:name="lt_pId418"/>
      <w:bookmarkStart w:id="221" w:name="lt_pId420"/>
      <w:r w:rsidRPr="00513FF0">
        <w:rPr>
          <w:lang w:val="fr-CA"/>
        </w:rPr>
        <w:t xml:space="preserve">Renseignez-vous sur les politiques de votre établissement en matière d’accessibilité, </w:t>
      </w:r>
      <w:hyperlink r:id="rId62" w:anchor="a11" w:history="1">
        <w:r w:rsidRPr="00513FF0">
          <w:rPr>
            <w:rStyle w:val="Hyperlink"/>
            <w:lang w:val="fr-CA"/>
          </w:rPr>
          <w:t>d’équité</w:t>
        </w:r>
      </w:hyperlink>
      <w:r w:rsidRPr="00513FF0">
        <w:rPr>
          <w:lang w:val="fr-CA"/>
        </w:rPr>
        <w:t xml:space="preserve"> et de respect des systèmes de connaissances et des façons de faire autochtones.</w:t>
      </w:r>
      <w:bookmarkStart w:id="222" w:name="lt_pId419"/>
      <w:bookmarkEnd w:id="220"/>
      <w:r w:rsidRPr="00513FF0">
        <w:rPr>
          <w:lang w:val="fr-CA"/>
        </w:rPr>
        <w:t xml:space="preserve"> </w:t>
      </w:r>
    </w:p>
    <w:p w14:paraId="1FE760B3" w14:textId="75DFD36A" w:rsidR="00513FF0" w:rsidRPr="00513FF0" w:rsidRDefault="00513FF0" w:rsidP="00513FF0">
      <w:pPr>
        <w:pStyle w:val="ListParagraph"/>
        <w:numPr>
          <w:ilvl w:val="0"/>
          <w:numId w:val="27"/>
        </w:numPr>
        <w:spacing w:before="240" w:after="120"/>
        <w:rPr>
          <w:b/>
          <w:bCs/>
          <w:lang w:val="fr-CA"/>
        </w:rPr>
      </w:pPr>
      <w:r w:rsidRPr="00513FF0">
        <w:rPr>
          <w:lang w:val="fr-CA"/>
        </w:rPr>
        <w:t xml:space="preserve">Vérifiez quels sont les outils d’accessibilité à la disposition des membres du corps professoral </w:t>
      </w:r>
      <w:hyperlink r:id="rId63" w:anchor="a17" w:history="1">
        <w:r w:rsidRPr="00A941D2">
          <w:rPr>
            <w:rStyle w:val="Hyperlink"/>
            <w:lang w:val="fr-CA"/>
          </w:rPr>
          <w:t>en situation de handicap</w:t>
        </w:r>
      </w:hyperlink>
      <w:r w:rsidRPr="00513FF0">
        <w:rPr>
          <w:lang w:val="fr-CA"/>
        </w:rPr>
        <w:t xml:space="preserve"> et qui sont les personnes responsables d’assurer cette accessibilité.</w:t>
      </w:r>
      <w:bookmarkEnd w:id="222"/>
      <w:r w:rsidRPr="00513FF0">
        <w:rPr>
          <w:lang w:val="fr-CA"/>
        </w:rPr>
        <w:t xml:space="preserve"> </w:t>
      </w:r>
    </w:p>
    <w:p w14:paraId="4FB7A9D2" w14:textId="0A757BA3" w:rsidR="002D3055" w:rsidRPr="00513FF0" w:rsidRDefault="00513FF0" w:rsidP="00513FF0">
      <w:pPr>
        <w:pStyle w:val="ListParagraph"/>
        <w:numPr>
          <w:ilvl w:val="0"/>
          <w:numId w:val="27"/>
        </w:numPr>
        <w:spacing w:before="240" w:after="120"/>
        <w:rPr>
          <w:b/>
          <w:bCs/>
          <w:lang w:val="fr-CA"/>
        </w:rPr>
      </w:pPr>
      <w:r w:rsidRPr="00513FF0">
        <w:rPr>
          <w:lang w:val="fr-CA"/>
        </w:rPr>
        <w:t xml:space="preserve">Informez-vous sur les façons dont les données publiques relatives à l’équité, à la </w:t>
      </w:r>
      <w:hyperlink r:id="rId64" w:anchor="a8" w:history="1">
        <w:r w:rsidRPr="00513FF0">
          <w:rPr>
            <w:rStyle w:val="Hyperlink"/>
            <w:lang w:val="fr-CA"/>
          </w:rPr>
          <w:t>diversité</w:t>
        </w:r>
      </w:hyperlink>
      <w:r w:rsidRPr="00513FF0">
        <w:rPr>
          <w:lang w:val="fr-CA"/>
        </w:rPr>
        <w:t xml:space="preserve"> et à </w:t>
      </w:r>
      <w:hyperlink r:id="rId65" w:anchor="a21" w:history="1">
        <w:r w:rsidRPr="00513FF0">
          <w:rPr>
            <w:rStyle w:val="Hyperlink"/>
            <w:lang w:val="fr-CA"/>
          </w:rPr>
          <w:t>l’inclusion</w:t>
        </w:r>
      </w:hyperlink>
      <w:r w:rsidRPr="00513FF0">
        <w:rPr>
          <w:lang w:val="fr-CA"/>
        </w:rPr>
        <w:t xml:space="preserve"> peuvent être utilisées à bon escient</w:t>
      </w:r>
      <w:r w:rsidR="002D3055" w:rsidRPr="00513FF0">
        <w:rPr>
          <w:lang w:val="fr-CA"/>
        </w:rPr>
        <w:t>.</w:t>
      </w:r>
      <w:bookmarkEnd w:id="221"/>
      <w:r w:rsidR="002D3055" w:rsidRPr="00513FF0">
        <w:rPr>
          <w:lang w:val="fr-CA"/>
        </w:rPr>
        <w:t xml:space="preserve"> </w:t>
      </w:r>
      <w:bookmarkStart w:id="223" w:name="lt_pId421"/>
    </w:p>
    <w:p w14:paraId="53FABE8C" w14:textId="77777777" w:rsidR="002D3055" w:rsidRPr="00513FF0" w:rsidRDefault="002D3055" w:rsidP="002D3055">
      <w:pPr>
        <w:pStyle w:val="ListParagraph"/>
        <w:numPr>
          <w:ilvl w:val="0"/>
          <w:numId w:val="27"/>
        </w:numPr>
        <w:spacing w:before="240" w:after="120"/>
        <w:rPr>
          <w:b/>
          <w:bCs/>
          <w:lang w:val="fr-CA"/>
        </w:rPr>
      </w:pPr>
      <w:r w:rsidRPr="00513FF0">
        <w:rPr>
          <w:lang w:val="fr-CA"/>
        </w:rPr>
        <w:t>Renseignez-vous sur les mesures visant l’accueil des membres autochtones du corps professoral et la prise en compte des connaissances traditionnelles.</w:t>
      </w:r>
      <w:bookmarkEnd w:id="223"/>
      <w:r w:rsidRPr="00513FF0">
        <w:rPr>
          <w:lang w:val="fr-CA"/>
        </w:rPr>
        <w:t xml:space="preserve"> </w:t>
      </w:r>
      <w:bookmarkStart w:id="224" w:name="lt_pId422"/>
    </w:p>
    <w:p w14:paraId="556CD1DB" w14:textId="77777777" w:rsidR="002D3055" w:rsidRPr="00513FF0" w:rsidRDefault="002D3055" w:rsidP="002D3055">
      <w:pPr>
        <w:pStyle w:val="ListParagraph"/>
        <w:numPr>
          <w:ilvl w:val="0"/>
          <w:numId w:val="27"/>
        </w:numPr>
        <w:spacing w:before="240" w:after="120"/>
        <w:rPr>
          <w:b/>
          <w:bCs/>
          <w:lang w:val="fr-CA"/>
        </w:rPr>
      </w:pPr>
      <w:r w:rsidRPr="00513FF0">
        <w:rPr>
          <w:lang w:val="fr-CA"/>
        </w:rPr>
        <w:t>Rejoignez des comités ou prenez des initiatives pour promouvoir la diversité et l’inclusion, car la collaboration réduit la charge de travail.</w:t>
      </w:r>
      <w:bookmarkEnd w:id="224"/>
    </w:p>
    <w:p w14:paraId="4ABBA5F6" w14:textId="77777777" w:rsidR="002D3055" w:rsidRPr="00513FF0" w:rsidRDefault="002D3055" w:rsidP="005D650B">
      <w:pPr>
        <w:pStyle w:val="Heading1"/>
        <w:rPr>
          <w:lang w:val="fr-CA"/>
        </w:rPr>
      </w:pPr>
      <w:bookmarkStart w:id="225" w:name="lt_pId424"/>
      <w:r w:rsidRPr="00513FF0">
        <w:rPr>
          <w:lang w:val="fr-CA"/>
        </w:rPr>
        <w:t>Sondage</w:t>
      </w:r>
      <w:bookmarkEnd w:id="225"/>
    </w:p>
    <w:p w14:paraId="1BDA9B52" w14:textId="7A0A084F" w:rsidR="002D3055" w:rsidRPr="00513FF0" w:rsidRDefault="002D3055" w:rsidP="00E174E6">
      <w:pPr>
        <w:rPr>
          <w:lang w:val="fr-CA"/>
        </w:rPr>
      </w:pPr>
      <w:bookmarkStart w:id="226" w:name="lt_pId425"/>
      <w:r w:rsidRPr="00513FF0">
        <w:rPr>
          <w:lang w:val="fr-CA"/>
        </w:rPr>
        <w:t xml:space="preserve">Avant de conclure le module, nous vous prions de remplir </w:t>
      </w:r>
      <w:hyperlink r:id="rId66" w:history="1">
        <w:r w:rsidRPr="00D81E28">
          <w:rPr>
            <w:rStyle w:val="Hyperlink"/>
            <w:lang w:val="fr-CA"/>
          </w:rPr>
          <w:t>ce formulaire</w:t>
        </w:r>
      </w:hyperlink>
      <w:r w:rsidRPr="00513FF0">
        <w:rPr>
          <w:lang w:val="fr-CA"/>
        </w:rPr>
        <w:t xml:space="preserve"> afin d’aider les trois organismes à faire un suivi des apprentissages et à améliorer leurs produits.</w:t>
      </w:r>
      <w:bookmarkEnd w:id="226"/>
      <w:r w:rsidRPr="00513FF0">
        <w:rPr>
          <w:lang w:val="fr-CA"/>
        </w:rPr>
        <w:t xml:space="preserve">  </w:t>
      </w:r>
    </w:p>
    <w:p w14:paraId="7C3EDDA1" w14:textId="77777777" w:rsidR="005D650B" w:rsidRPr="00513FF0" w:rsidRDefault="005D650B" w:rsidP="005D650B">
      <w:pPr>
        <w:pStyle w:val="Heading1"/>
        <w:rPr>
          <w:lang w:val="fr-CA"/>
        </w:rPr>
      </w:pPr>
      <w:bookmarkStart w:id="227" w:name="lt_pId428"/>
      <w:r w:rsidRPr="00513FF0">
        <w:rPr>
          <w:lang w:val="fr-CA"/>
        </w:rPr>
        <w:lastRenderedPageBreak/>
        <w:t>Merci</w:t>
      </w:r>
    </w:p>
    <w:p w14:paraId="7C94417F" w14:textId="4EF2DCF9" w:rsidR="002D3055" w:rsidRPr="00513FF0" w:rsidRDefault="002D3055" w:rsidP="005D650B">
      <w:pPr>
        <w:rPr>
          <w:lang w:val="fr-CA"/>
        </w:rPr>
      </w:pPr>
      <w:r w:rsidRPr="00513FF0">
        <w:rPr>
          <w:lang w:val="fr-CA"/>
        </w:rPr>
        <w:t>Merci d’avoir suivi ce module d’apprentissage.</w:t>
      </w:r>
      <w:bookmarkStart w:id="228" w:name="lt_pId429"/>
      <w:bookmarkEnd w:id="227"/>
      <w:r w:rsidR="005D650B" w:rsidRPr="00513FF0">
        <w:rPr>
          <w:lang w:val="fr-CA"/>
        </w:rPr>
        <w:t xml:space="preserve"> </w:t>
      </w:r>
      <w:r w:rsidRPr="00513FF0">
        <w:rPr>
          <w:lang w:val="fr-CA"/>
        </w:rPr>
        <w:t>Entrez votre nom pour générer un certificat.</w:t>
      </w:r>
      <w:bookmarkEnd w:id="228"/>
    </w:p>
    <w:p w14:paraId="06957663" w14:textId="77777777" w:rsidR="002D3055" w:rsidRPr="00513FF0" w:rsidRDefault="002D3055" w:rsidP="005D650B">
      <w:pPr>
        <w:pStyle w:val="Heading1"/>
        <w:rPr>
          <w:lang w:val="fr-CA"/>
        </w:rPr>
      </w:pPr>
      <w:bookmarkStart w:id="229" w:name="lt_pId441"/>
      <w:r w:rsidRPr="00513FF0">
        <w:rPr>
          <w:lang w:val="fr-CA"/>
        </w:rPr>
        <w:t>Autres ressources</w:t>
      </w:r>
      <w:bookmarkEnd w:id="229"/>
      <w:r w:rsidRPr="00513FF0">
        <w:rPr>
          <w:lang w:val="fr-CA"/>
        </w:rPr>
        <w:t xml:space="preserve"> </w:t>
      </w:r>
    </w:p>
    <w:p w14:paraId="2EEB7A06" w14:textId="77777777" w:rsidR="002D3055" w:rsidRPr="00513FF0" w:rsidRDefault="002D3055" w:rsidP="00E174E6">
      <w:pPr>
        <w:rPr>
          <w:lang w:val="fr-CA"/>
        </w:rPr>
      </w:pPr>
      <w:bookmarkStart w:id="230" w:name="lt_pId442"/>
      <w:r w:rsidRPr="00513FF0">
        <w:rPr>
          <w:lang w:val="fr-CA"/>
        </w:rPr>
        <w:t>Si vous avez des questions ou souhaitez en savoir plus sur les préjugés, communiquez avec un représentant de l’organisme concerné ou consultez ces ressources :</w:t>
      </w:r>
      <w:bookmarkEnd w:id="230"/>
    </w:p>
    <w:bookmarkStart w:id="231" w:name="lt_pId443"/>
    <w:p w14:paraId="1AB50BA7" w14:textId="77777777" w:rsidR="002D3055" w:rsidRPr="00513FF0" w:rsidRDefault="002D3055" w:rsidP="002D3055">
      <w:pPr>
        <w:pStyle w:val="ListParagraph"/>
        <w:numPr>
          <w:ilvl w:val="0"/>
          <w:numId w:val="28"/>
        </w:numPr>
        <w:spacing w:before="240" w:after="120"/>
        <w:rPr>
          <w:lang w:val="fr-CA"/>
        </w:rPr>
      </w:pPr>
      <w:r w:rsidRPr="00513FF0">
        <w:rPr>
          <w:lang w:val="fr-CA"/>
        </w:rPr>
        <w:fldChar w:fldCharType="begin"/>
      </w:r>
      <w:r w:rsidRPr="00513FF0">
        <w:rPr>
          <w:lang w:val="fr-CA"/>
        </w:rPr>
        <w:instrText>HYPERLINK "https://www.canada.ca/fr/sante-publique/services/services-sante-mentale/sante-mentale-obtenir-aide.html"</w:instrText>
      </w:r>
      <w:r w:rsidRPr="00513FF0">
        <w:rPr>
          <w:lang w:val="fr-CA"/>
        </w:rPr>
      </w:r>
      <w:r w:rsidRPr="00513FF0">
        <w:rPr>
          <w:lang w:val="fr-CA"/>
        </w:rPr>
        <w:fldChar w:fldCharType="separate"/>
      </w:r>
      <w:r w:rsidRPr="00513FF0">
        <w:rPr>
          <w:rStyle w:val="Hyperlink"/>
          <w:lang w:val="fr-CA"/>
        </w:rPr>
        <w:t>Services de soutien en santé mentale</w:t>
      </w:r>
      <w:r w:rsidRPr="00513FF0">
        <w:rPr>
          <w:lang w:val="fr-CA"/>
        </w:rPr>
        <w:fldChar w:fldCharType="end"/>
      </w:r>
      <w:bookmarkEnd w:id="231"/>
      <w:r w:rsidRPr="00513FF0">
        <w:rPr>
          <w:lang w:val="fr-CA"/>
        </w:rPr>
        <w:t xml:space="preserve">. </w:t>
      </w:r>
      <w:bookmarkStart w:id="232" w:name="lt_pId444"/>
    </w:p>
    <w:p w14:paraId="2E8CC67B" w14:textId="77777777" w:rsidR="002D3055" w:rsidRPr="00513FF0" w:rsidRDefault="002D3055" w:rsidP="002D3055">
      <w:pPr>
        <w:pStyle w:val="ListParagraph"/>
        <w:numPr>
          <w:ilvl w:val="0"/>
          <w:numId w:val="28"/>
        </w:numPr>
        <w:spacing w:before="240" w:after="120"/>
        <w:rPr>
          <w:lang w:val="fr-CA"/>
        </w:rPr>
      </w:pPr>
      <w:r w:rsidRPr="00513FF0">
        <w:rPr>
          <w:lang w:val="fr-CA"/>
        </w:rPr>
        <w:t xml:space="preserve">Songez à faire un </w:t>
      </w:r>
      <w:hyperlink r:id="rId67" w:history="1">
        <w:r w:rsidRPr="00513FF0">
          <w:rPr>
            <w:rStyle w:val="Hyperlink"/>
            <w:lang w:val="fr-CA"/>
          </w:rPr>
          <w:t>test d’association implicite</w:t>
        </w:r>
      </w:hyperlink>
      <w:r w:rsidRPr="00513FF0">
        <w:rPr>
          <w:lang w:val="fr-CA"/>
        </w:rPr>
        <w:t>.</w:t>
      </w:r>
      <w:bookmarkEnd w:id="232"/>
      <w:r w:rsidRPr="00513FF0">
        <w:rPr>
          <w:lang w:val="fr-CA"/>
        </w:rPr>
        <w:t xml:space="preserve"> </w:t>
      </w:r>
      <w:bookmarkStart w:id="233" w:name="lt_pId445"/>
    </w:p>
    <w:p w14:paraId="69A73B17" w14:textId="77777777" w:rsidR="002D3055" w:rsidRPr="00513FF0" w:rsidRDefault="002D3055" w:rsidP="002D3055">
      <w:pPr>
        <w:pStyle w:val="ListParagraph"/>
        <w:numPr>
          <w:ilvl w:val="0"/>
          <w:numId w:val="28"/>
        </w:numPr>
        <w:spacing w:before="240" w:after="120"/>
        <w:rPr>
          <w:lang w:val="fr-CA"/>
        </w:rPr>
      </w:pPr>
      <w:r w:rsidRPr="00513FF0">
        <w:rPr>
          <w:lang w:val="fr-CA"/>
        </w:rPr>
        <w:t xml:space="preserve">Suivez le cours </w:t>
      </w:r>
      <w:hyperlink r:id="rId68" w:history="1">
        <w:r w:rsidRPr="00513FF0">
          <w:rPr>
            <w:rStyle w:val="Hyperlink"/>
            <w:lang w:val="fr-CA"/>
          </w:rPr>
          <w:t>EPTC 2 : FER-2022 (formation en éthique de la recherche)</w:t>
        </w:r>
      </w:hyperlink>
      <w:r w:rsidRPr="00513FF0">
        <w:rPr>
          <w:lang w:val="fr-CA"/>
        </w:rPr>
        <w:t>.</w:t>
      </w:r>
      <w:bookmarkEnd w:id="233"/>
      <w:r w:rsidRPr="00513FF0">
        <w:rPr>
          <w:lang w:val="fr-CA"/>
        </w:rPr>
        <w:t xml:space="preserve"> </w:t>
      </w:r>
      <w:bookmarkStart w:id="234" w:name="lt_pId446"/>
    </w:p>
    <w:p w14:paraId="4F92DC76" w14:textId="77777777" w:rsidR="002D3055" w:rsidRPr="00513FF0" w:rsidRDefault="002D3055" w:rsidP="002D3055">
      <w:pPr>
        <w:pStyle w:val="ListParagraph"/>
        <w:numPr>
          <w:ilvl w:val="0"/>
          <w:numId w:val="28"/>
        </w:numPr>
        <w:spacing w:before="240" w:after="120"/>
        <w:rPr>
          <w:lang w:val="fr-CA"/>
        </w:rPr>
      </w:pPr>
      <w:r w:rsidRPr="00513FF0">
        <w:rPr>
          <w:lang w:val="fr-CA"/>
        </w:rPr>
        <w:t>Lisez l’</w:t>
      </w:r>
      <w:hyperlink r:id="rId69" w:history="1">
        <w:r w:rsidRPr="00513FF0">
          <w:rPr>
            <w:rStyle w:val="Hyperlink"/>
            <w:lang w:val="fr-CA"/>
          </w:rPr>
          <w:t>Énoncé des trois organismes sur l’équité, la diversité et l’inclusion</w:t>
        </w:r>
      </w:hyperlink>
      <w:r w:rsidRPr="00513FF0">
        <w:rPr>
          <w:lang w:val="fr-CA"/>
        </w:rPr>
        <w:t>.</w:t>
      </w:r>
      <w:bookmarkEnd w:id="234"/>
      <w:r w:rsidRPr="00513FF0">
        <w:rPr>
          <w:lang w:val="fr-CA"/>
        </w:rPr>
        <w:t xml:space="preserve"> </w:t>
      </w:r>
      <w:bookmarkStart w:id="235" w:name="lt_pId447"/>
    </w:p>
    <w:p w14:paraId="003EC7D2" w14:textId="7F731F19" w:rsidR="003032DC" w:rsidRPr="00513FF0" w:rsidRDefault="002D3055" w:rsidP="003032DC">
      <w:pPr>
        <w:pStyle w:val="ListParagraph"/>
        <w:numPr>
          <w:ilvl w:val="0"/>
          <w:numId w:val="28"/>
        </w:numPr>
        <w:spacing w:before="240" w:after="120"/>
        <w:rPr>
          <w:lang w:val="fr-CA"/>
        </w:rPr>
      </w:pPr>
      <w:hyperlink r:id="rId70" w:history="1">
        <w:proofErr w:type="spellStart"/>
        <w:r w:rsidRPr="00513FF0">
          <w:rPr>
            <w:rStyle w:val="Hyperlink"/>
            <w:lang w:val="fr-CA"/>
          </w:rPr>
          <w:t>San'yas</w:t>
        </w:r>
        <w:proofErr w:type="spellEnd"/>
        <w:r w:rsidRPr="00513FF0">
          <w:rPr>
            <w:rStyle w:val="Hyperlink"/>
            <w:lang w:val="fr-CA"/>
          </w:rPr>
          <w:t xml:space="preserve"> </w:t>
        </w:r>
        <w:proofErr w:type="spellStart"/>
        <w:r w:rsidRPr="00513FF0">
          <w:rPr>
            <w:rStyle w:val="Hyperlink"/>
            <w:lang w:val="fr-CA"/>
          </w:rPr>
          <w:t>Indigenous</w:t>
        </w:r>
        <w:proofErr w:type="spellEnd"/>
        <w:r w:rsidRPr="00513FF0">
          <w:rPr>
            <w:rStyle w:val="Hyperlink"/>
            <w:lang w:val="fr-CA"/>
          </w:rPr>
          <w:t xml:space="preserve"> Cultural </w:t>
        </w:r>
        <w:proofErr w:type="spellStart"/>
        <w:r w:rsidRPr="00513FF0">
          <w:rPr>
            <w:rStyle w:val="Hyperlink"/>
            <w:lang w:val="fr-CA"/>
          </w:rPr>
          <w:t>Safety</w:t>
        </w:r>
        <w:proofErr w:type="spellEnd"/>
        <w:r w:rsidRPr="00513FF0">
          <w:rPr>
            <w:rStyle w:val="Hyperlink"/>
            <w:lang w:val="fr-CA"/>
          </w:rPr>
          <w:t xml:space="preserve"> Online Training</w:t>
        </w:r>
      </w:hyperlink>
      <w:bookmarkEnd w:id="235"/>
      <w:r w:rsidRPr="00513FF0">
        <w:rPr>
          <w:lang w:val="fr-CA"/>
        </w:rPr>
        <w:t xml:space="preserve"> (en anglais seulement)</w:t>
      </w:r>
      <w:r w:rsidR="003032DC" w:rsidRPr="00513FF0">
        <w:rPr>
          <w:noProof/>
          <w:lang w:val="fr-CA"/>
        </w:rPr>
        <w:t xml:space="preserve"> </w:t>
      </w:r>
    </w:p>
    <w:sectPr w:rsidR="003032DC" w:rsidRPr="00513FF0" w:rsidSect="008532E8">
      <w:headerReference w:type="default" r:id="rId71"/>
      <w:footerReference w:type="default" r:id="rId72"/>
      <w:headerReference w:type="first" r:id="rId73"/>
      <w:footerReference w:type="first" r:id="rId74"/>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ECDD9" w14:textId="77777777" w:rsidR="00E65771" w:rsidRDefault="00E65771" w:rsidP="00D44256">
      <w:r>
        <w:separator/>
      </w:r>
    </w:p>
  </w:endnote>
  <w:endnote w:type="continuationSeparator" w:id="0">
    <w:p w14:paraId="5D5D6E97" w14:textId="77777777" w:rsidR="00E65771" w:rsidRDefault="00E65771" w:rsidP="00D44256">
      <w:r>
        <w:continuationSeparator/>
      </w:r>
    </w:p>
  </w:endnote>
  <w:endnote w:type="continuationNotice" w:id="1">
    <w:p w14:paraId="155C327A" w14:textId="77777777" w:rsidR="00E65771" w:rsidRDefault="00E657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D56D" w14:textId="5258CD7D" w:rsidR="003147DA" w:rsidRPr="00102EDA" w:rsidRDefault="003147DA" w:rsidP="003147DA">
    <w:pPr>
      <w:pStyle w:val="Footer"/>
      <w:rPr>
        <w:lang w:val="en-CA"/>
      </w:rPr>
    </w:pPr>
    <w:r>
      <w:rPr>
        <w:lang w:val="en-CA"/>
      </w:rPr>
      <w:t>Page </w:t>
    </w:r>
    <w:r w:rsidRPr="003147DA">
      <w:rPr>
        <w:b/>
        <w:bCs/>
        <w:lang w:val="en-CA"/>
      </w:rPr>
      <w:fldChar w:fldCharType="begin"/>
    </w:r>
    <w:r w:rsidRPr="003147DA">
      <w:rPr>
        <w:b/>
        <w:bCs/>
        <w:lang w:val="en-CA"/>
      </w:rPr>
      <w:instrText xml:space="preserve"> PAGE   \* MERGEFORMAT </w:instrText>
    </w:r>
    <w:r w:rsidRPr="003147DA">
      <w:rPr>
        <w:b/>
        <w:bCs/>
        <w:lang w:val="en-CA"/>
      </w:rPr>
      <w:fldChar w:fldCharType="separate"/>
    </w:r>
    <w:r>
      <w:rPr>
        <w:b/>
        <w:bCs/>
        <w:lang w:val="en-CA"/>
      </w:rPr>
      <w:t>1</w:t>
    </w:r>
    <w:r w:rsidRPr="003147DA">
      <w:rPr>
        <w:b/>
        <w:bCs/>
        <w:lang w:val="en-CA"/>
      </w:rPr>
      <w:fldChar w:fldCharType="end"/>
    </w:r>
    <w:r>
      <w:rPr>
        <w:lang w:val="en-CA"/>
      </w:rPr>
      <w:t> </w:t>
    </w:r>
    <w:r w:rsidR="00FB500D">
      <w:rPr>
        <w:lang w:val="en-CA"/>
      </w:rPr>
      <w:t>de</w:t>
    </w:r>
    <w:r>
      <w:rPr>
        <w:lang w:val="en-CA"/>
      </w:rPr>
      <w:t> </w:t>
    </w:r>
    <w:r>
      <w:rPr>
        <w:lang w:val="en-CA"/>
      </w:rPr>
      <w:fldChar w:fldCharType="begin"/>
    </w:r>
    <w:r>
      <w:rPr>
        <w:lang w:val="en-CA"/>
      </w:rPr>
      <w:instrText xml:space="preserve"> NUMPAGES   \* MERGEFORMAT </w:instrText>
    </w:r>
    <w:r>
      <w:rPr>
        <w:lang w:val="en-CA"/>
      </w:rPr>
      <w:fldChar w:fldCharType="separate"/>
    </w:r>
    <w:r>
      <w:rPr>
        <w:lang w:val="en-CA"/>
      </w:rPr>
      <w:t>2</w:t>
    </w:r>
    <w:r>
      <w:rPr>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5832" w14:textId="0F4A3901" w:rsidR="005E03FF" w:rsidRPr="00102EDA" w:rsidRDefault="00102EDA">
    <w:pPr>
      <w:pStyle w:val="Footer"/>
      <w:rPr>
        <w:lang w:val="en-CA"/>
      </w:rPr>
    </w:pPr>
    <w:r>
      <w:rPr>
        <w:lang w:val="en-CA"/>
      </w:rPr>
      <w:t>Page </w:t>
    </w:r>
    <w:r w:rsidR="005633F4" w:rsidRPr="003147DA">
      <w:rPr>
        <w:b/>
        <w:bCs/>
        <w:lang w:val="en-CA"/>
      </w:rPr>
      <w:fldChar w:fldCharType="begin"/>
    </w:r>
    <w:r w:rsidR="005633F4" w:rsidRPr="003147DA">
      <w:rPr>
        <w:b/>
        <w:bCs/>
        <w:lang w:val="en-CA"/>
      </w:rPr>
      <w:instrText xml:space="preserve"> PAGE   \* MERGEFORMAT </w:instrText>
    </w:r>
    <w:r w:rsidR="005633F4" w:rsidRPr="003147DA">
      <w:rPr>
        <w:b/>
        <w:bCs/>
        <w:lang w:val="en-CA"/>
      </w:rPr>
      <w:fldChar w:fldCharType="separate"/>
    </w:r>
    <w:r w:rsidR="005633F4" w:rsidRPr="003147DA">
      <w:rPr>
        <w:b/>
        <w:bCs/>
        <w:noProof/>
        <w:lang w:val="en-CA"/>
      </w:rPr>
      <w:t>2</w:t>
    </w:r>
    <w:r w:rsidR="005633F4" w:rsidRPr="003147DA">
      <w:rPr>
        <w:b/>
        <w:bCs/>
        <w:lang w:val="en-CA"/>
      </w:rPr>
      <w:fldChar w:fldCharType="end"/>
    </w:r>
    <w:r w:rsidR="003147DA">
      <w:rPr>
        <w:lang w:val="en-CA"/>
      </w:rPr>
      <w:t> </w:t>
    </w:r>
    <w:r w:rsidR="003253B1">
      <w:rPr>
        <w:lang w:val="en-CA"/>
      </w:rPr>
      <w:t>de</w:t>
    </w:r>
    <w:r w:rsidR="003147DA">
      <w:rPr>
        <w:lang w:val="en-CA"/>
      </w:rPr>
      <w:t> </w:t>
    </w:r>
    <w:r w:rsidR="003147DA">
      <w:rPr>
        <w:lang w:val="en-CA"/>
      </w:rPr>
      <w:fldChar w:fldCharType="begin"/>
    </w:r>
    <w:r w:rsidR="003147DA">
      <w:rPr>
        <w:lang w:val="en-CA"/>
      </w:rPr>
      <w:instrText xml:space="preserve"> NUMPAGES   \* MERGEFORMAT </w:instrText>
    </w:r>
    <w:r w:rsidR="003147DA">
      <w:rPr>
        <w:lang w:val="en-CA"/>
      </w:rPr>
      <w:fldChar w:fldCharType="separate"/>
    </w:r>
    <w:r w:rsidR="003147DA">
      <w:rPr>
        <w:noProof/>
        <w:lang w:val="en-CA"/>
      </w:rPr>
      <w:t>2</w:t>
    </w:r>
    <w:r w:rsidR="003147DA">
      <w:rPr>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A00E" w14:textId="77777777" w:rsidR="00E65771" w:rsidRDefault="00E65771" w:rsidP="00D44256">
      <w:r>
        <w:separator/>
      </w:r>
    </w:p>
  </w:footnote>
  <w:footnote w:type="continuationSeparator" w:id="0">
    <w:p w14:paraId="4CFB7D50" w14:textId="77777777" w:rsidR="00E65771" w:rsidRDefault="00E65771" w:rsidP="00D44256">
      <w:r>
        <w:continuationSeparator/>
      </w:r>
    </w:p>
  </w:footnote>
  <w:footnote w:type="continuationNotice" w:id="1">
    <w:p w14:paraId="026C95F5" w14:textId="77777777" w:rsidR="00E65771" w:rsidRDefault="00E657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CCD0" w14:textId="7C51CD03" w:rsidR="007015BE" w:rsidRPr="00666860" w:rsidRDefault="00000000" w:rsidP="006A5B58">
    <w:pPr>
      <w:pStyle w:val="Header"/>
      <w:pBdr>
        <w:bottom w:val="single" w:sz="4" w:space="1" w:color="auto"/>
      </w:pBdr>
      <w:tabs>
        <w:tab w:val="clear" w:pos="9360"/>
        <w:tab w:val="right" w:pos="10065"/>
      </w:tabs>
      <w:jc w:val="left"/>
      <w:rPr>
        <w:sz w:val="24"/>
        <w:szCs w:val="24"/>
        <w:lang w:val="fr-CA"/>
      </w:rPr>
    </w:pPr>
    <w:sdt>
      <w:sdtPr>
        <w:rPr>
          <w:sz w:val="24"/>
          <w:szCs w:val="24"/>
          <w:lang w:val="fr-CA"/>
        </w:rPr>
        <w:alias w:val="Title"/>
        <w:tag w:val=""/>
        <w:id w:val="1480497750"/>
        <w:placeholder>
          <w:docPart w:val="C2E1F8AC425C477FA8D7DFC7C486D328"/>
        </w:placeholder>
        <w:dataBinding w:prefixMappings="xmlns:ns0='http://purl.org/dc/elements/1.1/' xmlns:ns1='http://schemas.openxmlformats.org/package/2006/metadata/core-properties' " w:xpath="/ns1:coreProperties[1]/ns0:title[1]" w:storeItemID="{6C3C8BC8-F283-45AE-878A-BAB7291924A1}"/>
        <w:text/>
      </w:sdtPr>
      <w:sdtContent>
        <w:r w:rsidR="004D0B04" w:rsidRPr="004D0B04">
          <w:rPr>
            <w:sz w:val="24"/>
            <w:szCs w:val="24"/>
            <w:lang w:val="fr-CA"/>
          </w:rPr>
          <w:t>Préjugés</w:t>
        </w:r>
        <w:r w:rsidR="004D0B04">
          <w:rPr>
            <w:sz w:val="24"/>
            <w:szCs w:val="24"/>
            <w:lang w:val="fr-CA"/>
          </w:rPr>
          <w:t xml:space="preserve"> </w:t>
        </w:r>
        <w:r w:rsidR="004D0B04" w:rsidRPr="004D0B04">
          <w:rPr>
            <w:sz w:val="24"/>
            <w:szCs w:val="24"/>
            <w:lang w:val="fr-CA"/>
          </w:rPr>
          <w:t>dans l'évaluation par les pairs – Transcription</w:t>
        </w:r>
      </w:sdtContent>
    </w:sdt>
    <w:r w:rsidR="00ED0F52" w:rsidRPr="00666860">
      <w:rPr>
        <w:sz w:val="24"/>
        <w:szCs w:val="24"/>
        <w:lang w:val="fr-CA"/>
      </w:rPr>
      <w:tab/>
    </w:r>
    <w:sdt>
      <w:sdtPr>
        <w:rPr>
          <w:sz w:val="24"/>
          <w:szCs w:val="24"/>
          <w:lang w:val="fr-CA"/>
        </w:rPr>
        <w:alias w:val="Publish Date"/>
        <w:tag w:val=""/>
        <w:id w:val="-1014074682"/>
        <w:placeholder>
          <w:docPart w:val="4BE4141853AE465388AD40597F27AF43"/>
        </w:placeholder>
        <w:dataBinding w:prefixMappings="xmlns:ns0='http://schemas.microsoft.com/office/2006/coverPageProps' " w:xpath="/ns0:CoverPageProperties[1]/ns0:PublishDate[1]" w:storeItemID="{55AF091B-3C7A-41E3-B477-F2FDAA23CFDA}"/>
        <w:date w:fullDate="2025-11-06T00:00:00Z">
          <w:dateFormat w:val="yyyy-MM-dd"/>
          <w:lid w:val="en-CA"/>
          <w:storeMappedDataAs w:val="dateTime"/>
          <w:calendar w:val="gregorian"/>
        </w:date>
      </w:sdtPr>
      <w:sdtContent>
        <w:r w:rsidR="00DA1465" w:rsidRPr="00DA1465">
          <w:rPr>
            <w:sz w:val="24"/>
            <w:szCs w:val="24"/>
            <w:lang w:val="fr-CA"/>
          </w:rPr>
          <w:t>2025-11-06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8D36" w14:textId="6550A3C4" w:rsidR="006C2AD2" w:rsidRDefault="008816B6" w:rsidP="009A7AC3">
    <w:pPr>
      <w:pStyle w:val="Header"/>
      <w:tabs>
        <w:tab w:val="clear" w:pos="9360"/>
        <w:tab w:val="right" w:pos="10065"/>
      </w:tabs>
      <w:jc w:val="left"/>
    </w:pPr>
    <w:r>
      <w:rPr>
        <w:noProof/>
      </w:rPr>
      <w:drawing>
        <wp:inline distT="0" distB="0" distL="0" distR="0" wp14:anchorId="26EE3EEB" wp14:editId="1CF08AED">
          <wp:extent cx="3086100" cy="276225"/>
          <wp:effectExtent l="0" t="0" r="0" b="9525"/>
          <wp:docPr id="113892614" name="Picture 4" descr="Signature avec drapeau des Instituts de recherche en santé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92614" name="Picture 4" descr="Signature avec drapeau des Instituts de recherche en santé du 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276225"/>
                  </a:xfrm>
                  <a:prstGeom prst="rect">
                    <a:avLst/>
                  </a:prstGeom>
                  <a:noFill/>
                  <a:ln>
                    <a:noFill/>
                  </a:ln>
                </pic:spPr>
              </pic:pic>
            </a:graphicData>
          </a:graphic>
        </wp:inline>
      </w:drawing>
    </w:r>
    <w:r w:rsidR="006C2AD2">
      <w:tab/>
    </w:r>
    <w:r w:rsidR="006C2AD2">
      <w:rPr>
        <w:noProof/>
      </w:rPr>
      <w:drawing>
        <wp:inline distT="0" distB="0" distL="0" distR="0" wp14:anchorId="68B4FA43" wp14:editId="73FCB971">
          <wp:extent cx="922267" cy="220609"/>
          <wp:effectExtent l="0" t="0" r="0" b="8255"/>
          <wp:docPr id="1791811539" name="Picture 3" descr="Le mot-symbole «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963143" name="Picture 3" descr="Le mot-symbole « Canada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025" cy="2755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121E"/>
    <w:multiLevelType w:val="hybridMultilevel"/>
    <w:tmpl w:val="7D9AF71A"/>
    <w:lvl w:ilvl="0" w:tplc="79CE7652">
      <w:start w:val="1"/>
      <w:numFmt w:val="decimal"/>
      <w:lvlText w:val="%1."/>
      <w:lvlJc w:val="left"/>
      <w:pPr>
        <w:ind w:left="360" w:hanging="360"/>
      </w:pPr>
      <w:rPr>
        <w:b w:val="0"/>
        <w:b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B295E0F"/>
    <w:multiLevelType w:val="hybridMultilevel"/>
    <w:tmpl w:val="8AC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1305CF"/>
    <w:multiLevelType w:val="hybridMultilevel"/>
    <w:tmpl w:val="F6AA9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D03919"/>
    <w:multiLevelType w:val="hybridMultilevel"/>
    <w:tmpl w:val="5C301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405919"/>
    <w:multiLevelType w:val="hybridMultilevel"/>
    <w:tmpl w:val="997CCB3C"/>
    <w:lvl w:ilvl="0" w:tplc="79CE7652">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EB0F39"/>
    <w:multiLevelType w:val="hybridMultilevel"/>
    <w:tmpl w:val="5A0E1D90"/>
    <w:lvl w:ilvl="0" w:tplc="A5A075B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5C4056"/>
    <w:multiLevelType w:val="hybridMultilevel"/>
    <w:tmpl w:val="3D569BC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F92BFC"/>
    <w:multiLevelType w:val="hybridMultilevel"/>
    <w:tmpl w:val="2C505BE0"/>
    <w:lvl w:ilvl="0" w:tplc="79CE7652">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0FC2CA7"/>
    <w:multiLevelType w:val="hybridMultilevel"/>
    <w:tmpl w:val="C28614AC"/>
    <w:lvl w:ilvl="0" w:tplc="94306B1E">
      <w:numFmt w:val="bullet"/>
      <w:lvlText w:val="•"/>
      <w:lvlJc w:val="left"/>
      <w:pPr>
        <w:ind w:left="720" w:hanging="360"/>
      </w:pPr>
      <w:rPr>
        <w:rFonts w:ascii="Aptos Narrow" w:eastAsiaTheme="minorHAnsi" w:hAnsi="Aptos Narrow"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4079BF"/>
    <w:multiLevelType w:val="hybridMultilevel"/>
    <w:tmpl w:val="FFFFFFFF"/>
    <w:lvl w:ilvl="0" w:tplc="D33C3F00">
      <w:start w:val="1"/>
      <w:numFmt w:val="bullet"/>
      <w:lvlText w:val=""/>
      <w:lvlJc w:val="left"/>
      <w:pPr>
        <w:ind w:left="720" w:hanging="360"/>
      </w:pPr>
      <w:rPr>
        <w:rFonts w:ascii="Symbol" w:hAnsi="Symbol" w:hint="default"/>
      </w:rPr>
    </w:lvl>
    <w:lvl w:ilvl="1" w:tplc="73F6452C">
      <w:start w:val="1"/>
      <w:numFmt w:val="bullet"/>
      <w:lvlText w:val="o"/>
      <w:lvlJc w:val="left"/>
      <w:pPr>
        <w:ind w:left="1440" w:hanging="360"/>
      </w:pPr>
      <w:rPr>
        <w:rFonts w:ascii="Courier New" w:hAnsi="Courier New" w:hint="default"/>
      </w:rPr>
    </w:lvl>
    <w:lvl w:ilvl="2" w:tplc="065C6D9A">
      <w:start w:val="1"/>
      <w:numFmt w:val="bullet"/>
      <w:lvlText w:val=""/>
      <w:lvlJc w:val="left"/>
      <w:pPr>
        <w:ind w:left="2160" w:hanging="360"/>
      </w:pPr>
      <w:rPr>
        <w:rFonts w:ascii="Wingdings" w:hAnsi="Wingdings" w:hint="default"/>
      </w:rPr>
    </w:lvl>
    <w:lvl w:ilvl="3" w:tplc="2D4C324E">
      <w:start w:val="1"/>
      <w:numFmt w:val="bullet"/>
      <w:lvlText w:val=""/>
      <w:lvlJc w:val="left"/>
      <w:pPr>
        <w:ind w:left="2880" w:hanging="360"/>
      </w:pPr>
      <w:rPr>
        <w:rFonts w:ascii="Symbol" w:hAnsi="Symbol" w:hint="default"/>
      </w:rPr>
    </w:lvl>
    <w:lvl w:ilvl="4" w:tplc="39AE47D2">
      <w:start w:val="1"/>
      <w:numFmt w:val="bullet"/>
      <w:lvlText w:val="o"/>
      <w:lvlJc w:val="left"/>
      <w:pPr>
        <w:ind w:left="3600" w:hanging="360"/>
      </w:pPr>
      <w:rPr>
        <w:rFonts w:ascii="Courier New" w:hAnsi="Courier New" w:hint="default"/>
      </w:rPr>
    </w:lvl>
    <w:lvl w:ilvl="5" w:tplc="9A60B974">
      <w:start w:val="1"/>
      <w:numFmt w:val="bullet"/>
      <w:lvlText w:val=""/>
      <w:lvlJc w:val="left"/>
      <w:pPr>
        <w:ind w:left="4320" w:hanging="360"/>
      </w:pPr>
      <w:rPr>
        <w:rFonts w:ascii="Wingdings" w:hAnsi="Wingdings" w:hint="default"/>
      </w:rPr>
    </w:lvl>
    <w:lvl w:ilvl="6" w:tplc="269E009A">
      <w:start w:val="1"/>
      <w:numFmt w:val="bullet"/>
      <w:lvlText w:val=""/>
      <w:lvlJc w:val="left"/>
      <w:pPr>
        <w:ind w:left="5040" w:hanging="360"/>
      </w:pPr>
      <w:rPr>
        <w:rFonts w:ascii="Symbol" w:hAnsi="Symbol" w:hint="default"/>
      </w:rPr>
    </w:lvl>
    <w:lvl w:ilvl="7" w:tplc="92B00B88">
      <w:start w:val="1"/>
      <w:numFmt w:val="bullet"/>
      <w:lvlText w:val="o"/>
      <w:lvlJc w:val="left"/>
      <w:pPr>
        <w:ind w:left="5760" w:hanging="360"/>
      </w:pPr>
      <w:rPr>
        <w:rFonts w:ascii="Courier New" w:hAnsi="Courier New" w:hint="default"/>
      </w:rPr>
    </w:lvl>
    <w:lvl w:ilvl="8" w:tplc="A1444A06">
      <w:start w:val="1"/>
      <w:numFmt w:val="bullet"/>
      <w:lvlText w:val=""/>
      <w:lvlJc w:val="left"/>
      <w:pPr>
        <w:ind w:left="6480" w:hanging="360"/>
      </w:pPr>
      <w:rPr>
        <w:rFonts w:ascii="Wingdings" w:hAnsi="Wingdings" w:hint="default"/>
      </w:rPr>
    </w:lvl>
  </w:abstractNum>
  <w:abstractNum w:abstractNumId="10" w15:restartNumberingAfterBreak="0">
    <w:nsid w:val="2A131DE5"/>
    <w:multiLevelType w:val="hybridMultilevel"/>
    <w:tmpl w:val="FFFFFFFF"/>
    <w:lvl w:ilvl="0" w:tplc="A568118C">
      <w:start w:val="1"/>
      <w:numFmt w:val="decimal"/>
      <w:lvlText w:val="%1."/>
      <w:lvlJc w:val="left"/>
      <w:pPr>
        <w:ind w:left="720" w:hanging="360"/>
      </w:pPr>
    </w:lvl>
    <w:lvl w:ilvl="1" w:tplc="75AA5E60">
      <w:start w:val="1"/>
      <w:numFmt w:val="lowerLetter"/>
      <w:lvlText w:val="%2."/>
      <w:lvlJc w:val="left"/>
      <w:pPr>
        <w:ind w:left="1440" w:hanging="360"/>
      </w:pPr>
    </w:lvl>
    <w:lvl w:ilvl="2" w:tplc="18AAA6E2">
      <w:start w:val="1"/>
      <w:numFmt w:val="lowerRoman"/>
      <w:lvlText w:val="%3."/>
      <w:lvlJc w:val="right"/>
      <w:pPr>
        <w:ind w:left="2160" w:hanging="180"/>
      </w:pPr>
    </w:lvl>
    <w:lvl w:ilvl="3" w:tplc="9D2E8812">
      <w:start w:val="1"/>
      <w:numFmt w:val="decimal"/>
      <w:lvlText w:val="%4."/>
      <w:lvlJc w:val="left"/>
      <w:pPr>
        <w:ind w:left="2880" w:hanging="360"/>
      </w:pPr>
    </w:lvl>
    <w:lvl w:ilvl="4" w:tplc="7C4623E8">
      <w:start w:val="1"/>
      <w:numFmt w:val="lowerLetter"/>
      <w:lvlText w:val="%5."/>
      <w:lvlJc w:val="left"/>
      <w:pPr>
        <w:ind w:left="3600" w:hanging="360"/>
      </w:pPr>
    </w:lvl>
    <w:lvl w:ilvl="5" w:tplc="BE80AC2E">
      <w:start w:val="1"/>
      <w:numFmt w:val="lowerRoman"/>
      <w:lvlText w:val="%6."/>
      <w:lvlJc w:val="right"/>
      <w:pPr>
        <w:ind w:left="4320" w:hanging="180"/>
      </w:pPr>
    </w:lvl>
    <w:lvl w:ilvl="6" w:tplc="05644FCE">
      <w:start w:val="1"/>
      <w:numFmt w:val="decimal"/>
      <w:lvlText w:val="%7."/>
      <w:lvlJc w:val="left"/>
      <w:pPr>
        <w:ind w:left="5040" w:hanging="360"/>
      </w:pPr>
    </w:lvl>
    <w:lvl w:ilvl="7" w:tplc="20B2C8A6">
      <w:start w:val="1"/>
      <w:numFmt w:val="lowerLetter"/>
      <w:lvlText w:val="%8."/>
      <w:lvlJc w:val="left"/>
      <w:pPr>
        <w:ind w:left="5760" w:hanging="360"/>
      </w:pPr>
    </w:lvl>
    <w:lvl w:ilvl="8" w:tplc="FF724490">
      <w:start w:val="1"/>
      <w:numFmt w:val="lowerRoman"/>
      <w:lvlText w:val="%9."/>
      <w:lvlJc w:val="right"/>
      <w:pPr>
        <w:ind w:left="6480" w:hanging="180"/>
      </w:pPr>
    </w:lvl>
  </w:abstractNum>
  <w:abstractNum w:abstractNumId="11" w15:restartNumberingAfterBreak="0">
    <w:nsid w:val="3053176B"/>
    <w:multiLevelType w:val="hybridMultilevel"/>
    <w:tmpl w:val="160E833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34A6CB5"/>
    <w:multiLevelType w:val="hybridMultilevel"/>
    <w:tmpl w:val="3C6C57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4240EB1"/>
    <w:multiLevelType w:val="hybridMultilevel"/>
    <w:tmpl w:val="F3525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77E18D3"/>
    <w:multiLevelType w:val="hybridMultilevel"/>
    <w:tmpl w:val="1084FF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B7B1187"/>
    <w:multiLevelType w:val="hybridMultilevel"/>
    <w:tmpl w:val="1A103FA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E410B84"/>
    <w:multiLevelType w:val="hybridMultilevel"/>
    <w:tmpl w:val="05248A70"/>
    <w:lvl w:ilvl="0" w:tplc="79CE7652">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1440E3B"/>
    <w:multiLevelType w:val="hybridMultilevel"/>
    <w:tmpl w:val="3E70B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3DA44E1"/>
    <w:multiLevelType w:val="hybridMultilevel"/>
    <w:tmpl w:val="5F5E1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4773B5E"/>
    <w:multiLevelType w:val="hybridMultilevel"/>
    <w:tmpl w:val="6BDC505E"/>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5644C1D"/>
    <w:multiLevelType w:val="hybridMultilevel"/>
    <w:tmpl w:val="39E8D53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89221A"/>
    <w:multiLevelType w:val="hybridMultilevel"/>
    <w:tmpl w:val="24B45698"/>
    <w:lvl w:ilvl="0" w:tplc="94306B1E">
      <w:numFmt w:val="bullet"/>
      <w:lvlText w:val="•"/>
      <w:lvlJc w:val="left"/>
      <w:pPr>
        <w:ind w:left="720" w:hanging="360"/>
      </w:pPr>
      <w:rPr>
        <w:rFonts w:ascii="Aptos Narrow" w:eastAsiaTheme="minorHAnsi" w:hAnsi="Aptos Narrow"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BD62794"/>
    <w:multiLevelType w:val="hybridMultilevel"/>
    <w:tmpl w:val="1B0AB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1656151"/>
    <w:multiLevelType w:val="hybridMultilevel"/>
    <w:tmpl w:val="69763C52"/>
    <w:lvl w:ilvl="0" w:tplc="80F6C3BA">
      <w:start w:val="1"/>
      <w:numFmt w:val="decimal"/>
      <w:lvlText w:val="%1."/>
      <w:lvlJc w:val="left"/>
      <w:pPr>
        <w:ind w:left="1020" w:hanging="360"/>
      </w:pPr>
    </w:lvl>
    <w:lvl w:ilvl="1" w:tplc="70503D90">
      <w:start w:val="1"/>
      <w:numFmt w:val="decimal"/>
      <w:lvlText w:val="%2."/>
      <w:lvlJc w:val="left"/>
      <w:pPr>
        <w:ind w:left="1020" w:hanging="360"/>
      </w:pPr>
    </w:lvl>
    <w:lvl w:ilvl="2" w:tplc="4E2EB06C">
      <w:start w:val="1"/>
      <w:numFmt w:val="decimal"/>
      <w:lvlText w:val="%3."/>
      <w:lvlJc w:val="left"/>
      <w:pPr>
        <w:ind w:left="1020" w:hanging="360"/>
      </w:pPr>
    </w:lvl>
    <w:lvl w:ilvl="3" w:tplc="9DB2598E">
      <w:start w:val="1"/>
      <w:numFmt w:val="decimal"/>
      <w:lvlText w:val="%4."/>
      <w:lvlJc w:val="left"/>
      <w:pPr>
        <w:ind w:left="1020" w:hanging="360"/>
      </w:pPr>
    </w:lvl>
    <w:lvl w:ilvl="4" w:tplc="2708BE72">
      <w:start w:val="1"/>
      <w:numFmt w:val="decimal"/>
      <w:lvlText w:val="%5."/>
      <w:lvlJc w:val="left"/>
      <w:pPr>
        <w:ind w:left="1020" w:hanging="360"/>
      </w:pPr>
    </w:lvl>
    <w:lvl w:ilvl="5" w:tplc="D2FC978E">
      <w:start w:val="1"/>
      <w:numFmt w:val="decimal"/>
      <w:lvlText w:val="%6."/>
      <w:lvlJc w:val="left"/>
      <w:pPr>
        <w:ind w:left="1020" w:hanging="360"/>
      </w:pPr>
    </w:lvl>
    <w:lvl w:ilvl="6" w:tplc="B15CA6EC">
      <w:start w:val="1"/>
      <w:numFmt w:val="decimal"/>
      <w:lvlText w:val="%7."/>
      <w:lvlJc w:val="left"/>
      <w:pPr>
        <w:ind w:left="1020" w:hanging="360"/>
      </w:pPr>
    </w:lvl>
    <w:lvl w:ilvl="7" w:tplc="2772C774">
      <w:start w:val="1"/>
      <w:numFmt w:val="decimal"/>
      <w:lvlText w:val="%8."/>
      <w:lvlJc w:val="left"/>
      <w:pPr>
        <w:ind w:left="1020" w:hanging="360"/>
      </w:pPr>
    </w:lvl>
    <w:lvl w:ilvl="8" w:tplc="46E299FA">
      <w:start w:val="1"/>
      <w:numFmt w:val="decimal"/>
      <w:lvlText w:val="%9."/>
      <w:lvlJc w:val="left"/>
      <w:pPr>
        <w:ind w:left="1020" w:hanging="360"/>
      </w:pPr>
    </w:lvl>
  </w:abstractNum>
  <w:abstractNum w:abstractNumId="24" w15:restartNumberingAfterBreak="0">
    <w:nsid w:val="51BA0B22"/>
    <w:multiLevelType w:val="hybridMultilevel"/>
    <w:tmpl w:val="9028ED48"/>
    <w:lvl w:ilvl="0" w:tplc="6C8C95C4">
      <w:start w:val="1"/>
      <w:numFmt w:val="decimal"/>
      <w:lvlText w:val="%1."/>
      <w:lvlJc w:val="left"/>
      <w:pPr>
        <w:ind w:left="1020" w:hanging="360"/>
      </w:pPr>
    </w:lvl>
    <w:lvl w:ilvl="1" w:tplc="01D45B36">
      <w:start w:val="1"/>
      <w:numFmt w:val="decimal"/>
      <w:lvlText w:val="%2."/>
      <w:lvlJc w:val="left"/>
      <w:pPr>
        <w:ind w:left="1020" w:hanging="360"/>
      </w:pPr>
    </w:lvl>
    <w:lvl w:ilvl="2" w:tplc="A73E8716">
      <w:start w:val="1"/>
      <w:numFmt w:val="decimal"/>
      <w:lvlText w:val="%3."/>
      <w:lvlJc w:val="left"/>
      <w:pPr>
        <w:ind w:left="1020" w:hanging="360"/>
      </w:pPr>
    </w:lvl>
    <w:lvl w:ilvl="3" w:tplc="C340EF88">
      <w:start w:val="1"/>
      <w:numFmt w:val="decimal"/>
      <w:lvlText w:val="%4."/>
      <w:lvlJc w:val="left"/>
      <w:pPr>
        <w:ind w:left="1020" w:hanging="360"/>
      </w:pPr>
    </w:lvl>
    <w:lvl w:ilvl="4" w:tplc="B328ACD4">
      <w:start w:val="1"/>
      <w:numFmt w:val="decimal"/>
      <w:lvlText w:val="%5."/>
      <w:lvlJc w:val="left"/>
      <w:pPr>
        <w:ind w:left="1020" w:hanging="360"/>
      </w:pPr>
    </w:lvl>
    <w:lvl w:ilvl="5" w:tplc="E35AAEA8">
      <w:start w:val="1"/>
      <w:numFmt w:val="decimal"/>
      <w:lvlText w:val="%6."/>
      <w:lvlJc w:val="left"/>
      <w:pPr>
        <w:ind w:left="1020" w:hanging="360"/>
      </w:pPr>
    </w:lvl>
    <w:lvl w:ilvl="6" w:tplc="D744DD04">
      <w:start w:val="1"/>
      <w:numFmt w:val="decimal"/>
      <w:lvlText w:val="%7."/>
      <w:lvlJc w:val="left"/>
      <w:pPr>
        <w:ind w:left="1020" w:hanging="360"/>
      </w:pPr>
    </w:lvl>
    <w:lvl w:ilvl="7" w:tplc="89564DFE">
      <w:start w:val="1"/>
      <w:numFmt w:val="decimal"/>
      <w:lvlText w:val="%8."/>
      <w:lvlJc w:val="left"/>
      <w:pPr>
        <w:ind w:left="1020" w:hanging="360"/>
      </w:pPr>
    </w:lvl>
    <w:lvl w:ilvl="8" w:tplc="964C8796">
      <w:start w:val="1"/>
      <w:numFmt w:val="decimal"/>
      <w:lvlText w:val="%9."/>
      <w:lvlJc w:val="left"/>
      <w:pPr>
        <w:ind w:left="1020" w:hanging="360"/>
      </w:pPr>
    </w:lvl>
  </w:abstractNum>
  <w:abstractNum w:abstractNumId="25" w15:restartNumberingAfterBreak="0">
    <w:nsid w:val="5AB40679"/>
    <w:multiLevelType w:val="hybridMultilevel"/>
    <w:tmpl w:val="DD4C5A4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5CC538F3"/>
    <w:multiLevelType w:val="hybridMultilevel"/>
    <w:tmpl w:val="2382AF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DEE4CF2"/>
    <w:multiLevelType w:val="hybridMultilevel"/>
    <w:tmpl w:val="77F0ACA0"/>
    <w:lvl w:ilvl="0" w:tplc="79CE7652">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E313CC4"/>
    <w:multiLevelType w:val="hybridMultilevel"/>
    <w:tmpl w:val="F52C2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F68517F"/>
    <w:multiLevelType w:val="hybridMultilevel"/>
    <w:tmpl w:val="853022E8"/>
    <w:lvl w:ilvl="0" w:tplc="95B48782">
      <w:start w:val="1"/>
      <w:numFmt w:val="decimal"/>
      <w:lvlText w:val="%1."/>
      <w:lvlJc w:val="left"/>
      <w:pPr>
        <w:ind w:left="1020" w:hanging="360"/>
      </w:pPr>
    </w:lvl>
    <w:lvl w:ilvl="1" w:tplc="05781686">
      <w:start w:val="1"/>
      <w:numFmt w:val="decimal"/>
      <w:lvlText w:val="%2."/>
      <w:lvlJc w:val="left"/>
      <w:pPr>
        <w:ind w:left="1020" w:hanging="360"/>
      </w:pPr>
    </w:lvl>
    <w:lvl w:ilvl="2" w:tplc="842051EA">
      <w:start w:val="1"/>
      <w:numFmt w:val="decimal"/>
      <w:lvlText w:val="%3."/>
      <w:lvlJc w:val="left"/>
      <w:pPr>
        <w:ind w:left="1020" w:hanging="360"/>
      </w:pPr>
    </w:lvl>
    <w:lvl w:ilvl="3" w:tplc="07FEF778">
      <w:start w:val="1"/>
      <w:numFmt w:val="decimal"/>
      <w:lvlText w:val="%4."/>
      <w:lvlJc w:val="left"/>
      <w:pPr>
        <w:ind w:left="1020" w:hanging="360"/>
      </w:pPr>
    </w:lvl>
    <w:lvl w:ilvl="4" w:tplc="4C246816">
      <w:start w:val="1"/>
      <w:numFmt w:val="decimal"/>
      <w:lvlText w:val="%5."/>
      <w:lvlJc w:val="left"/>
      <w:pPr>
        <w:ind w:left="1020" w:hanging="360"/>
      </w:pPr>
    </w:lvl>
    <w:lvl w:ilvl="5" w:tplc="AC24849C">
      <w:start w:val="1"/>
      <w:numFmt w:val="decimal"/>
      <w:lvlText w:val="%6."/>
      <w:lvlJc w:val="left"/>
      <w:pPr>
        <w:ind w:left="1020" w:hanging="360"/>
      </w:pPr>
    </w:lvl>
    <w:lvl w:ilvl="6" w:tplc="ED56C280">
      <w:start w:val="1"/>
      <w:numFmt w:val="decimal"/>
      <w:lvlText w:val="%7."/>
      <w:lvlJc w:val="left"/>
      <w:pPr>
        <w:ind w:left="1020" w:hanging="360"/>
      </w:pPr>
    </w:lvl>
    <w:lvl w:ilvl="7" w:tplc="454003D2">
      <w:start w:val="1"/>
      <w:numFmt w:val="decimal"/>
      <w:lvlText w:val="%8."/>
      <w:lvlJc w:val="left"/>
      <w:pPr>
        <w:ind w:left="1020" w:hanging="360"/>
      </w:pPr>
    </w:lvl>
    <w:lvl w:ilvl="8" w:tplc="F8965F26">
      <w:start w:val="1"/>
      <w:numFmt w:val="decimal"/>
      <w:lvlText w:val="%9."/>
      <w:lvlJc w:val="left"/>
      <w:pPr>
        <w:ind w:left="1020" w:hanging="360"/>
      </w:pPr>
    </w:lvl>
  </w:abstractNum>
  <w:abstractNum w:abstractNumId="30" w15:restartNumberingAfterBreak="0">
    <w:nsid w:val="6386464D"/>
    <w:multiLevelType w:val="hybridMultilevel"/>
    <w:tmpl w:val="7806EF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46D637E"/>
    <w:multiLevelType w:val="hybridMultilevel"/>
    <w:tmpl w:val="B7B07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63E2E48"/>
    <w:multiLevelType w:val="hybridMultilevel"/>
    <w:tmpl w:val="567A02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8E73F14"/>
    <w:multiLevelType w:val="hybridMultilevel"/>
    <w:tmpl w:val="6EB6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C15356F"/>
    <w:multiLevelType w:val="hybridMultilevel"/>
    <w:tmpl w:val="F25C5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E3370FD"/>
    <w:multiLevelType w:val="hybridMultilevel"/>
    <w:tmpl w:val="C6AEA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ED959E2"/>
    <w:multiLevelType w:val="hybridMultilevel"/>
    <w:tmpl w:val="07268C76"/>
    <w:lvl w:ilvl="0" w:tplc="138403C2">
      <w:start w:val="1"/>
      <w:numFmt w:val="decimal"/>
      <w:lvlText w:val="%1."/>
      <w:lvlJc w:val="left"/>
      <w:pPr>
        <w:ind w:left="720" w:hanging="360"/>
      </w:pPr>
    </w:lvl>
    <w:lvl w:ilvl="1" w:tplc="8A34525A">
      <w:start w:val="1"/>
      <w:numFmt w:val="decimal"/>
      <w:lvlText w:val="%2."/>
      <w:lvlJc w:val="left"/>
      <w:pPr>
        <w:ind w:left="720" w:hanging="360"/>
      </w:pPr>
    </w:lvl>
    <w:lvl w:ilvl="2" w:tplc="B7A2596C">
      <w:start w:val="1"/>
      <w:numFmt w:val="decimal"/>
      <w:lvlText w:val="%3."/>
      <w:lvlJc w:val="left"/>
      <w:pPr>
        <w:ind w:left="720" w:hanging="360"/>
      </w:pPr>
    </w:lvl>
    <w:lvl w:ilvl="3" w:tplc="E6669B62">
      <w:start w:val="1"/>
      <w:numFmt w:val="decimal"/>
      <w:lvlText w:val="%4."/>
      <w:lvlJc w:val="left"/>
      <w:pPr>
        <w:ind w:left="720" w:hanging="360"/>
      </w:pPr>
    </w:lvl>
    <w:lvl w:ilvl="4" w:tplc="8ED2AB46">
      <w:start w:val="1"/>
      <w:numFmt w:val="decimal"/>
      <w:lvlText w:val="%5."/>
      <w:lvlJc w:val="left"/>
      <w:pPr>
        <w:ind w:left="720" w:hanging="360"/>
      </w:pPr>
    </w:lvl>
    <w:lvl w:ilvl="5" w:tplc="1AD4B83A">
      <w:start w:val="1"/>
      <w:numFmt w:val="decimal"/>
      <w:lvlText w:val="%6."/>
      <w:lvlJc w:val="left"/>
      <w:pPr>
        <w:ind w:left="720" w:hanging="360"/>
      </w:pPr>
    </w:lvl>
    <w:lvl w:ilvl="6" w:tplc="23DC3208">
      <w:start w:val="1"/>
      <w:numFmt w:val="decimal"/>
      <w:lvlText w:val="%7."/>
      <w:lvlJc w:val="left"/>
      <w:pPr>
        <w:ind w:left="720" w:hanging="360"/>
      </w:pPr>
    </w:lvl>
    <w:lvl w:ilvl="7" w:tplc="CCC2C886">
      <w:start w:val="1"/>
      <w:numFmt w:val="decimal"/>
      <w:lvlText w:val="%8."/>
      <w:lvlJc w:val="left"/>
      <w:pPr>
        <w:ind w:left="720" w:hanging="360"/>
      </w:pPr>
    </w:lvl>
    <w:lvl w:ilvl="8" w:tplc="43E06B9C">
      <w:start w:val="1"/>
      <w:numFmt w:val="decimal"/>
      <w:lvlText w:val="%9."/>
      <w:lvlJc w:val="left"/>
      <w:pPr>
        <w:ind w:left="720" w:hanging="360"/>
      </w:pPr>
    </w:lvl>
  </w:abstractNum>
  <w:abstractNum w:abstractNumId="37" w15:restartNumberingAfterBreak="0">
    <w:nsid w:val="71231DE2"/>
    <w:multiLevelType w:val="hybridMultilevel"/>
    <w:tmpl w:val="2A2E8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5C13E90"/>
    <w:multiLevelType w:val="hybridMultilevel"/>
    <w:tmpl w:val="3F586F9E"/>
    <w:lvl w:ilvl="0" w:tplc="79CE7652">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03952056">
    <w:abstractNumId w:val="9"/>
  </w:num>
  <w:num w:numId="2" w16cid:durableId="564224803">
    <w:abstractNumId w:val="10"/>
  </w:num>
  <w:num w:numId="3" w16cid:durableId="2011830391">
    <w:abstractNumId w:val="28"/>
  </w:num>
  <w:num w:numId="4" w16cid:durableId="1891258902">
    <w:abstractNumId w:val="33"/>
  </w:num>
  <w:num w:numId="5" w16cid:durableId="1883788728">
    <w:abstractNumId w:val="22"/>
  </w:num>
  <w:num w:numId="6" w16cid:durableId="272592703">
    <w:abstractNumId w:val="3"/>
  </w:num>
  <w:num w:numId="7" w16cid:durableId="275866725">
    <w:abstractNumId w:val="17"/>
  </w:num>
  <w:num w:numId="8" w16cid:durableId="1970432206">
    <w:abstractNumId w:val="37"/>
  </w:num>
  <w:num w:numId="9" w16cid:durableId="414283936">
    <w:abstractNumId w:val="5"/>
  </w:num>
  <w:num w:numId="10" w16cid:durableId="1529560334">
    <w:abstractNumId w:val="1"/>
  </w:num>
  <w:num w:numId="11" w16cid:durableId="838933676">
    <w:abstractNumId w:val="20"/>
  </w:num>
  <w:num w:numId="12" w16cid:durableId="1800370797">
    <w:abstractNumId w:val="34"/>
  </w:num>
  <w:num w:numId="13" w16cid:durableId="316227834">
    <w:abstractNumId w:val="35"/>
  </w:num>
  <w:num w:numId="14" w16cid:durableId="245040792">
    <w:abstractNumId w:val="13"/>
  </w:num>
  <w:num w:numId="15" w16cid:durableId="643777158">
    <w:abstractNumId w:val="18"/>
  </w:num>
  <w:num w:numId="16" w16cid:durableId="700789395">
    <w:abstractNumId w:val="31"/>
  </w:num>
  <w:num w:numId="17" w16cid:durableId="1875997093">
    <w:abstractNumId w:val="2"/>
  </w:num>
  <w:num w:numId="18" w16cid:durableId="1736397311">
    <w:abstractNumId w:val="32"/>
  </w:num>
  <w:num w:numId="19" w16cid:durableId="1744064577">
    <w:abstractNumId w:val="6"/>
  </w:num>
  <w:num w:numId="20" w16cid:durableId="260994829">
    <w:abstractNumId w:val="24"/>
  </w:num>
  <w:num w:numId="21" w16cid:durableId="944733660">
    <w:abstractNumId w:val="23"/>
  </w:num>
  <w:num w:numId="22" w16cid:durableId="1661234167">
    <w:abstractNumId w:val="36"/>
  </w:num>
  <w:num w:numId="23" w16cid:durableId="1719696534">
    <w:abstractNumId w:val="29"/>
  </w:num>
  <w:num w:numId="24" w16cid:durableId="204754213">
    <w:abstractNumId w:val="25"/>
  </w:num>
  <w:num w:numId="25" w16cid:durableId="214313560">
    <w:abstractNumId w:val="15"/>
  </w:num>
  <w:num w:numId="26" w16cid:durableId="1298730142">
    <w:abstractNumId w:val="19"/>
  </w:num>
  <w:num w:numId="27" w16cid:durableId="1626082630">
    <w:abstractNumId w:val="26"/>
  </w:num>
  <w:num w:numId="28" w16cid:durableId="1920482619">
    <w:abstractNumId w:val="8"/>
  </w:num>
  <w:num w:numId="29" w16cid:durableId="152381226">
    <w:abstractNumId w:val="11"/>
  </w:num>
  <w:num w:numId="30" w16cid:durableId="155464690">
    <w:abstractNumId w:val="21"/>
  </w:num>
  <w:num w:numId="31" w16cid:durableId="1454865125">
    <w:abstractNumId w:val="38"/>
  </w:num>
  <w:num w:numId="32" w16cid:durableId="354622913">
    <w:abstractNumId w:val="4"/>
  </w:num>
  <w:num w:numId="33" w16cid:durableId="391198353">
    <w:abstractNumId w:val="0"/>
  </w:num>
  <w:num w:numId="34" w16cid:durableId="912619321">
    <w:abstractNumId w:val="7"/>
  </w:num>
  <w:num w:numId="35" w16cid:durableId="36512684">
    <w:abstractNumId w:val="16"/>
  </w:num>
  <w:num w:numId="36" w16cid:durableId="2145150183">
    <w:abstractNumId w:val="27"/>
  </w:num>
  <w:num w:numId="37" w16cid:durableId="673990444">
    <w:abstractNumId w:val="14"/>
  </w:num>
  <w:num w:numId="38" w16cid:durableId="482743579">
    <w:abstractNumId w:val="30"/>
  </w:num>
  <w:num w:numId="39" w16cid:durableId="187927530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D2"/>
    <w:rsid w:val="00000033"/>
    <w:rsid w:val="0000075A"/>
    <w:rsid w:val="0000567A"/>
    <w:rsid w:val="000101A8"/>
    <w:rsid w:val="00011D99"/>
    <w:rsid w:val="00012846"/>
    <w:rsid w:val="00017F14"/>
    <w:rsid w:val="000205E9"/>
    <w:rsid w:val="000256A8"/>
    <w:rsid w:val="00030758"/>
    <w:rsid w:val="00030D67"/>
    <w:rsid w:val="000377D3"/>
    <w:rsid w:val="00041C1D"/>
    <w:rsid w:val="00046707"/>
    <w:rsid w:val="00051189"/>
    <w:rsid w:val="000523A6"/>
    <w:rsid w:val="000531BA"/>
    <w:rsid w:val="000559E0"/>
    <w:rsid w:val="00055D6A"/>
    <w:rsid w:val="000571FE"/>
    <w:rsid w:val="00057EAA"/>
    <w:rsid w:val="00057EE1"/>
    <w:rsid w:val="00063EA5"/>
    <w:rsid w:val="00065A24"/>
    <w:rsid w:val="0006705D"/>
    <w:rsid w:val="00067674"/>
    <w:rsid w:val="0008242E"/>
    <w:rsid w:val="00083086"/>
    <w:rsid w:val="00086331"/>
    <w:rsid w:val="0008648D"/>
    <w:rsid w:val="0009601F"/>
    <w:rsid w:val="0009656D"/>
    <w:rsid w:val="000A0B92"/>
    <w:rsid w:val="000A1098"/>
    <w:rsid w:val="000A4B5D"/>
    <w:rsid w:val="000A6D4E"/>
    <w:rsid w:val="000B2182"/>
    <w:rsid w:val="000B3D32"/>
    <w:rsid w:val="000C5621"/>
    <w:rsid w:val="000C5CB8"/>
    <w:rsid w:val="000D03E1"/>
    <w:rsid w:val="000D3A94"/>
    <w:rsid w:val="000E0DC7"/>
    <w:rsid w:val="000E161E"/>
    <w:rsid w:val="000E4922"/>
    <w:rsid w:val="000E7748"/>
    <w:rsid w:val="0010296E"/>
    <w:rsid w:val="00102EDA"/>
    <w:rsid w:val="00104FA0"/>
    <w:rsid w:val="0010580C"/>
    <w:rsid w:val="001111E8"/>
    <w:rsid w:val="00113B6A"/>
    <w:rsid w:val="00116ECF"/>
    <w:rsid w:val="00117E92"/>
    <w:rsid w:val="00120341"/>
    <w:rsid w:val="0012366B"/>
    <w:rsid w:val="00123755"/>
    <w:rsid w:val="001246D1"/>
    <w:rsid w:val="00126415"/>
    <w:rsid w:val="00126B2B"/>
    <w:rsid w:val="00126BCD"/>
    <w:rsid w:val="0012728C"/>
    <w:rsid w:val="00131A9D"/>
    <w:rsid w:val="00136422"/>
    <w:rsid w:val="00136F52"/>
    <w:rsid w:val="00137999"/>
    <w:rsid w:val="00140B1E"/>
    <w:rsid w:val="00144EDF"/>
    <w:rsid w:val="0014749D"/>
    <w:rsid w:val="00151F57"/>
    <w:rsid w:val="00152DA2"/>
    <w:rsid w:val="001558EB"/>
    <w:rsid w:val="00160908"/>
    <w:rsid w:val="00160B77"/>
    <w:rsid w:val="00162313"/>
    <w:rsid w:val="0016465B"/>
    <w:rsid w:val="00164C22"/>
    <w:rsid w:val="00166E18"/>
    <w:rsid w:val="00171CFC"/>
    <w:rsid w:val="00175FB8"/>
    <w:rsid w:val="00176732"/>
    <w:rsid w:val="00176B3F"/>
    <w:rsid w:val="001803D0"/>
    <w:rsid w:val="0018114E"/>
    <w:rsid w:val="00186547"/>
    <w:rsid w:val="00192D7D"/>
    <w:rsid w:val="00194E88"/>
    <w:rsid w:val="00197B53"/>
    <w:rsid w:val="001A2F9F"/>
    <w:rsid w:val="001B4D6E"/>
    <w:rsid w:val="001C627D"/>
    <w:rsid w:val="001D03BC"/>
    <w:rsid w:val="001D3233"/>
    <w:rsid w:val="001D3CBA"/>
    <w:rsid w:val="001E17E5"/>
    <w:rsid w:val="001E2645"/>
    <w:rsid w:val="001E6269"/>
    <w:rsid w:val="001F0194"/>
    <w:rsid w:val="001F045B"/>
    <w:rsid w:val="002028F2"/>
    <w:rsid w:val="00203F06"/>
    <w:rsid w:val="00204A28"/>
    <w:rsid w:val="00206CA1"/>
    <w:rsid w:val="00207694"/>
    <w:rsid w:val="002077E2"/>
    <w:rsid w:val="00215C1A"/>
    <w:rsid w:val="00216DCB"/>
    <w:rsid w:val="00217803"/>
    <w:rsid w:val="00222060"/>
    <w:rsid w:val="00229282"/>
    <w:rsid w:val="00232356"/>
    <w:rsid w:val="00236908"/>
    <w:rsid w:val="00236D2A"/>
    <w:rsid w:val="00240BBE"/>
    <w:rsid w:val="00240CCD"/>
    <w:rsid w:val="00244EAD"/>
    <w:rsid w:val="00245384"/>
    <w:rsid w:val="0024625E"/>
    <w:rsid w:val="00246DDE"/>
    <w:rsid w:val="002476DE"/>
    <w:rsid w:val="00247C32"/>
    <w:rsid w:val="0025377A"/>
    <w:rsid w:val="0025378F"/>
    <w:rsid w:val="00260EB6"/>
    <w:rsid w:val="00262812"/>
    <w:rsid w:val="0026290F"/>
    <w:rsid w:val="00263717"/>
    <w:rsid w:val="002757FA"/>
    <w:rsid w:val="002775E9"/>
    <w:rsid w:val="0028022A"/>
    <w:rsid w:val="00280DCF"/>
    <w:rsid w:val="002819EF"/>
    <w:rsid w:val="0028248B"/>
    <w:rsid w:val="002834C7"/>
    <w:rsid w:val="00286625"/>
    <w:rsid w:val="00291AA5"/>
    <w:rsid w:val="002924EC"/>
    <w:rsid w:val="00296D75"/>
    <w:rsid w:val="002B084E"/>
    <w:rsid w:val="002B25AE"/>
    <w:rsid w:val="002B291C"/>
    <w:rsid w:val="002B393A"/>
    <w:rsid w:val="002B59EB"/>
    <w:rsid w:val="002B692C"/>
    <w:rsid w:val="002C34F9"/>
    <w:rsid w:val="002C3CF6"/>
    <w:rsid w:val="002C3FA5"/>
    <w:rsid w:val="002C4011"/>
    <w:rsid w:val="002D3055"/>
    <w:rsid w:val="002D3C43"/>
    <w:rsid w:val="002D5D0C"/>
    <w:rsid w:val="002E0383"/>
    <w:rsid w:val="002E28E1"/>
    <w:rsid w:val="002E3916"/>
    <w:rsid w:val="002E40AD"/>
    <w:rsid w:val="002E6645"/>
    <w:rsid w:val="002E6B5A"/>
    <w:rsid w:val="003012EF"/>
    <w:rsid w:val="003032DC"/>
    <w:rsid w:val="003147DA"/>
    <w:rsid w:val="003147E0"/>
    <w:rsid w:val="00315440"/>
    <w:rsid w:val="003174DD"/>
    <w:rsid w:val="003253B1"/>
    <w:rsid w:val="00330156"/>
    <w:rsid w:val="00330754"/>
    <w:rsid w:val="00336851"/>
    <w:rsid w:val="00341C74"/>
    <w:rsid w:val="00351B07"/>
    <w:rsid w:val="00354F58"/>
    <w:rsid w:val="00361CA6"/>
    <w:rsid w:val="00362A90"/>
    <w:rsid w:val="00364CE9"/>
    <w:rsid w:val="00365F6B"/>
    <w:rsid w:val="00367065"/>
    <w:rsid w:val="00367F28"/>
    <w:rsid w:val="00369BA9"/>
    <w:rsid w:val="003723D9"/>
    <w:rsid w:val="003734F7"/>
    <w:rsid w:val="00374A3C"/>
    <w:rsid w:val="00376E71"/>
    <w:rsid w:val="0038166C"/>
    <w:rsid w:val="003850E6"/>
    <w:rsid w:val="0038511C"/>
    <w:rsid w:val="0039220D"/>
    <w:rsid w:val="00392CDA"/>
    <w:rsid w:val="003935FE"/>
    <w:rsid w:val="0039790C"/>
    <w:rsid w:val="003A14A5"/>
    <w:rsid w:val="003A6731"/>
    <w:rsid w:val="003B210D"/>
    <w:rsid w:val="003B29D8"/>
    <w:rsid w:val="003B738C"/>
    <w:rsid w:val="003B7746"/>
    <w:rsid w:val="003C4581"/>
    <w:rsid w:val="003C5BA0"/>
    <w:rsid w:val="003C5C0B"/>
    <w:rsid w:val="003C5CA1"/>
    <w:rsid w:val="003D159C"/>
    <w:rsid w:val="003D2E7D"/>
    <w:rsid w:val="003E24B7"/>
    <w:rsid w:val="003E5D34"/>
    <w:rsid w:val="003F02F1"/>
    <w:rsid w:val="003F0EE7"/>
    <w:rsid w:val="003F1563"/>
    <w:rsid w:val="003F1E76"/>
    <w:rsid w:val="003F2FA7"/>
    <w:rsid w:val="003F4F57"/>
    <w:rsid w:val="003F6331"/>
    <w:rsid w:val="003F73B5"/>
    <w:rsid w:val="0040257B"/>
    <w:rsid w:val="00404423"/>
    <w:rsid w:val="0040544F"/>
    <w:rsid w:val="00415F84"/>
    <w:rsid w:val="00426182"/>
    <w:rsid w:val="004341CF"/>
    <w:rsid w:val="00434DA1"/>
    <w:rsid w:val="0043689A"/>
    <w:rsid w:val="00441AA2"/>
    <w:rsid w:val="004441D2"/>
    <w:rsid w:val="0044463D"/>
    <w:rsid w:val="00446EF0"/>
    <w:rsid w:val="004517B9"/>
    <w:rsid w:val="00455A95"/>
    <w:rsid w:val="004562E2"/>
    <w:rsid w:val="004607C5"/>
    <w:rsid w:val="00461582"/>
    <w:rsid w:val="00464017"/>
    <w:rsid w:val="00470DB4"/>
    <w:rsid w:val="00472290"/>
    <w:rsid w:val="004823F9"/>
    <w:rsid w:val="004856E5"/>
    <w:rsid w:val="00486413"/>
    <w:rsid w:val="00486B58"/>
    <w:rsid w:val="00491EFC"/>
    <w:rsid w:val="0049206F"/>
    <w:rsid w:val="00494C87"/>
    <w:rsid w:val="00495BBF"/>
    <w:rsid w:val="004A1DEF"/>
    <w:rsid w:val="004B0D0E"/>
    <w:rsid w:val="004B20A2"/>
    <w:rsid w:val="004B6EA4"/>
    <w:rsid w:val="004C17AB"/>
    <w:rsid w:val="004C3AD7"/>
    <w:rsid w:val="004C6DD8"/>
    <w:rsid w:val="004D0096"/>
    <w:rsid w:val="004D054D"/>
    <w:rsid w:val="004D0B04"/>
    <w:rsid w:val="004D39F7"/>
    <w:rsid w:val="004D57C9"/>
    <w:rsid w:val="004F1127"/>
    <w:rsid w:val="004F2234"/>
    <w:rsid w:val="004F739C"/>
    <w:rsid w:val="00501934"/>
    <w:rsid w:val="005106DF"/>
    <w:rsid w:val="0051155F"/>
    <w:rsid w:val="00513DD6"/>
    <w:rsid w:val="00513F11"/>
    <w:rsid w:val="00513FF0"/>
    <w:rsid w:val="00514D8F"/>
    <w:rsid w:val="00517E28"/>
    <w:rsid w:val="00520E92"/>
    <w:rsid w:val="005228B0"/>
    <w:rsid w:val="00523449"/>
    <w:rsid w:val="00523CA1"/>
    <w:rsid w:val="00525CB5"/>
    <w:rsid w:val="00533AEF"/>
    <w:rsid w:val="00536BB9"/>
    <w:rsid w:val="00537B2A"/>
    <w:rsid w:val="0054585B"/>
    <w:rsid w:val="00545CE1"/>
    <w:rsid w:val="00551E95"/>
    <w:rsid w:val="0055297E"/>
    <w:rsid w:val="0055479A"/>
    <w:rsid w:val="00556383"/>
    <w:rsid w:val="0056031F"/>
    <w:rsid w:val="0056104A"/>
    <w:rsid w:val="00562FDE"/>
    <w:rsid w:val="005631F4"/>
    <w:rsid w:val="005633F4"/>
    <w:rsid w:val="00572B15"/>
    <w:rsid w:val="0057588F"/>
    <w:rsid w:val="00576E69"/>
    <w:rsid w:val="00583CDA"/>
    <w:rsid w:val="0059211E"/>
    <w:rsid w:val="00596F32"/>
    <w:rsid w:val="005A3741"/>
    <w:rsid w:val="005A4FDD"/>
    <w:rsid w:val="005A7472"/>
    <w:rsid w:val="005B32DE"/>
    <w:rsid w:val="005B3D34"/>
    <w:rsid w:val="005C11B1"/>
    <w:rsid w:val="005C31BB"/>
    <w:rsid w:val="005C5118"/>
    <w:rsid w:val="005C7A44"/>
    <w:rsid w:val="005C7EAA"/>
    <w:rsid w:val="005D2A4F"/>
    <w:rsid w:val="005D3C20"/>
    <w:rsid w:val="005D5DF3"/>
    <w:rsid w:val="005D650B"/>
    <w:rsid w:val="005E03FF"/>
    <w:rsid w:val="005F0C21"/>
    <w:rsid w:val="005F0E3F"/>
    <w:rsid w:val="005F1EDE"/>
    <w:rsid w:val="005F26CF"/>
    <w:rsid w:val="005F441A"/>
    <w:rsid w:val="005F638E"/>
    <w:rsid w:val="005F69A3"/>
    <w:rsid w:val="006022EB"/>
    <w:rsid w:val="00603954"/>
    <w:rsid w:val="00606BD7"/>
    <w:rsid w:val="00607990"/>
    <w:rsid w:val="0061291D"/>
    <w:rsid w:val="006170E8"/>
    <w:rsid w:val="00617449"/>
    <w:rsid w:val="006204E1"/>
    <w:rsid w:val="00620C6C"/>
    <w:rsid w:val="006219D9"/>
    <w:rsid w:val="00624260"/>
    <w:rsid w:val="006257FB"/>
    <w:rsid w:val="00636A13"/>
    <w:rsid w:val="00640CD8"/>
    <w:rsid w:val="00644FDC"/>
    <w:rsid w:val="00654C7A"/>
    <w:rsid w:val="00666860"/>
    <w:rsid w:val="006668E8"/>
    <w:rsid w:val="00666E49"/>
    <w:rsid w:val="0067019C"/>
    <w:rsid w:val="006761A3"/>
    <w:rsid w:val="006817EC"/>
    <w:rsid w:val="00682286"/>
    <w:rsid w:val="006838A9"/>
    <w:rsid w:val="006874FB"/>
    <w:rsid w:val="00690AA1"/>
    <w:rsid w:val="00692BC1"/>
    <w:rsid w:val="00693BF1"/>
    <w:rsid w:val="00694A58"/>
    <w:rsid w:val="006A5B58"/>
    <w:rsid w:val="006A6D8A"/>
    <w:rsid w:val="006B02FD"/>
    <w:rsid w:val="006B24C4"/>
    <w:rsid w:val="006B528D"/>
    <w:rsid w:val="006C2A55"/>
    <w:rsid w:val="006C2AD2"/>
    <w:rsid w:val="006C504E"/>
    <w:rsid w:val="006C5B22"/>
    <w:rsid w:val="006C605F"/>
    <w:rsid w:val="006C6BD2"/>
    <w:rsid w:val="006D4DAB"/>
    <w:rsid w:val="006E1010"/>
    <w:rsid w:val="006E4154"/>
    <w:rsid w:val="006F48EA"/>
    <w:rsid w:val="007015BE"/>
    <w:rsid w:val="00703518"/>
    <w:rsid w:val="00704FCA"/>
    <w:rsid w:val="0070525E"/>
    <w:rsid w:val="00706E55"/>
    <w:rsid w:val="00707027"/>
    <w:rsid w:val="0070751C"/>
    <w:rsid w:val="00707DEA"/>
    <w:rsid w:val="00710BFE"/>
    <w:rsid w:val="00713C35"/>
    <w:rsid w:val="00721E35"/>
    <w:rsid w:val="0072227D"/>
    <w:rsid w:val="00722A8B"/>
    <w:rsid w:val="00731120"/>
    <w:rsid w:val="00735420"/>
    <w:rsid w:val="00736988"/>
    <w:rsid w:val="00741176"/>
    <w:rsid w:val="00747E1D"/>
    <w:rsid w:val="00747EF4"/>
    <w:rsid w:val="00750F04"/>
    <w:rsid w:val="0075583B"/>
    <w:rsid w:val="00761DC8"/>
    <w:rsid w:val="007621D1"/>
    <w:rsid w:val="0076464D"/>
    <w:rsid w:val="00765214"/>
    <w:rsid w:val="0076729C"/>
    <w:rsid w:val="00767DE1"/>
    <w:rsid w:val="0077314B"/>
    <w:rsid w:val="00774008"/>
    <w:rsid w:val="00774037"/>
    <w:rsid w:val="00776DB7"/>
    <w:rsid w:val="00793F95"/>
    <w:rsid w:val="00796617"/>
    <w:rsid w:val="007A104B"/>
    <w:rsid w:val="007A1207"/>
    <w:rsid w:val="007A317E"/>
    <w:rsid w:val="007A4DF1"/>
    <w:rsid w:val="007A55AC"/>
    <w:rsid w:val="007A55DB"/>
    <w:rsid w:val="007B0BF4"/>
    <w:rsid w:val="007B1590"/>
    <w:rsid w:val="007B1851"/>
    <w:rsid w:val="007B391D"/>
    <w:rsid w:val="007B6956"/>
    <w:rsid w:val="007C5EEB"/>
    <w:rsid w:val="007C6153"/>
    <w:rsid w:val="007C7784"/>
    <w:rsid w:val="007E4AC7"/>
    <w:rsid w:val="007F30B2"/>
    <w:rsid w:val="007F3B52"/>
    <w:rsid w:val="007F7027"/>
    <w:rsid w:val="0080302C"/>
    <w:rsid w:val="00805B77"/>
    <w:rsid w:val="0081316E"/>
    <w:rsid w:val="008201CD"/>
    <w:rsid w:val="0082067D"/>
    <w:rsid w:val="00822798"/>
    <w:rsid w:val="008255C5"/>
    <w:rsid w:val="0082732E"/>
    <w:rsid w:val="00831340"/>
    <w:rsid w:val="00837652"/>
    <w:rsid w:val="00837D10"/>
    <w:rsid w:val="0084022D"/>
    <w:rsid w:val="008438CB"/>
    <w:rsid w:val="00843A1C"/>
    <w:rsid w:val="00843D43"/>
    <w:rsid w:val="00847E47"/>
    <w:rsid w:val="008532E8"/>
    <w:rsid w:val="00854ED0"/>
    <w:rsid w:val="00861C41"/>
    <w:rsid w:val="00863544"/>
    <w:rsid w:val="008637E0"/>
    <w:rsid w:val="0086418B"/>
    <w:rsid w:val="0086465F"/>
    <w:rsid w:val="00881017"/>
    <w:rsid w:val="008816B6"/>
    <w:rsid w:val="00882F7D"/>
    <w:rsid w:val="008867AD"/>
    <w:rsid w:val="00887798"/>
    <w:rsid w:val="00890688"/>
    <w:rsid w:val="00891079"/>
    <w:rsid w:val="008941B3"/>
    <w:rsid w:val="008A12C0"/>
    <w:rsid w:val="008A192A"/>
    <w:rsid w:val="008A4F2E"/>
    <w:rsid w:val="008A6866"/>
    <w:rsid w:val="008A785C"/>
    <w:rsid w:val="008B1F67"/>
    <w:rsid w:val="008B6EED"/>
    <w:rsid w:val="008B7E93"/>
    <w:rsid w:val="008C02F5"/>
    <w:rsid w:val="008C0D2A"/>
    <w:rsid w:val="008C1A43"/>
    <w:rsid w:val="008C286A"/>
    <w:rsid w:val="008D1564"/>
    <w:rsid w:val="008D1C39"/>
    <w:rsid w:val="008D2F20"/>
    <w:rsid w:val="008E1538"/>
    <w:rsid w:val="008E24E3"/>
    <w:rsid w:val="008E3A7F"/>
    <w:rsid w:val="008E40E2"/>
    <w:rsid w:val="008F2E28"/>
    <w:rsid w:val="008F33EB"/>
    <w:rsid w:val="008F43A1"/>
    <w:rsid w:val="008F6663"/>
    <w:rsid w:val="009032A8"/>
    <w:rsid w:val="00905270"/>
    <w:rsid w:val="00907D12"/>
    <w:rsid w:val="00907E40"/>
    <w:rsid w:val="0091036D"/>
    <w:rsid w:val="0091199D"/>
    <w:rsid w:val="009152BA"/>
    <w:rsid w:val="0091611C"/>
    <w:rsid w:val="00921BFE"/>
    <w:rsid w:val="00921F8C"/>
    <w:rsid w:val="00922ACB"/>
    <w:rsid w:val="009236E4"/>
    <w:rsid w:val="00927D11"/>
    <w:rsid w:val="00927DEC"/>
    <w:rsid w:val="00930A9B"/>
    <w:rsid w:val="009331EB"/>
    <w:rsid w:val="00937619"/>
    <w:rsid w:val="00943A4B"/>
    <w:rsid w:val="00945DAF"/>
    <w:rsid w:val="00950453"/>
    <w:rsid w:val="00950669"/>
    <w:rsid w:val="00952794"/>
    <w:rsid w:val="00956122"/>
    <w:rsid w:val="00974A3D"/>
    <w:rsid w:val="0097714F"/>
    <w:rsid w:val="00981FEF"/>
    <w:rsid w:val="00982BC3"/>
    <w:rsid w:val="00986203"/>
    <w:rsid w:val="0099244B"/>
    <w:rsid w:val="009927DA"/>
    <w:rsid w:val="00992A35"/>
    <w:rsid w:val="009A1EE9"/>
    <w:rsid w:val="009A3340"/>
    <w:rsid w:val="009A7AC3"/>
    <w:rsid w:val="009B1CBF"/>
    <w:rsid w:val="009B1CD7"/>
    <w:rsid w:val="009B4D26"/>
    <w:rsid w:val="009B4D68"/>
    <w:rsid w:val="009C0555"/>
    <w:rsid w:val="009C735F"/>
    <w:rsid w:val="009D68C4"/>
    <w:rsid w:val="009D7387"/>
    <w:rsid w:val="009D77BF"/>
    <w:rsid w:val="009E3792"/>
    <w:rsid w:val="009E5E8A"/>
    <w:rsid w:val="009E6590"/>
    <w:rsid w:val="009E6611"/>
    <w:rsid w:val="009E7921"/>
    <w:rsid w:val="009E7C48"/>
    <w:rsid w:val="009E7F60"/>
    <w:rsid w:val="009F255E"/>
    <w:rsid w:val="009F3BE1"/>
    <w:rsid w:val="009F592E"/>
    <w:rsid w:val="009F6D6E"/>
    <w:rsid w:val="00A00D35"/>
    <w:rsid w:val="00A02F33"/>
    <w:rsid w:val="00A159FF"/>
    <w:rsid w:val="00A166F0"/>
    <w:rsid w:val="00A253D8"/>
    <w:rsid w:val="00A26A9B"/>
    <w:rsid w:val="00A326F1"/>
    <w:rsid w:val="00A32CFD"/>
    <w:rsid w:val="00A40795"/>
    <w:rsid w:val="00A4683C"/>
    <w:rsid w:val="00A50003"/>
    <w:rsid w:val="00A5599E"/>
    <w:rsid w:val="00A57A33"/>
    <w:rsid w:val="00A61999"/>
    <w:rsid w:val="00A672A0"/>
    <w:rsid w:val="00A77D9F"/>
    <w:rsid w:val="00A821F5"/>
    <w:rsid w:val="00A85C2A"/>
    <w:rsid w:val="00A870E4"/>
    <w:rsid w:val="00A9185A"/>
    <w:rsid w:val="00A93607"/>
    <w:rsid w:val="00A941D2"/>
    <w:rsid w:val="00A977BE"/>
    <w:rsid w:val="00A9799D"/>
    <w:rsid w:val="00AA28D0"/>
    <w:rsid w:val="00AA3BF6"/>
    <w:rsid w:val="00AA667F"/>
    <w:rsid w:val="00AA717F"/>
    <w:rsid w:val="00AB058B"/>
    <w:rsid w:val="00AB1685"/>
    <w:rsid w:val="00AB2735"/>
    <w:rsid w:val="00AB4909"/>
    <w:rsid w:val="00AB57A1"/>
    <w:rsid w:val="00AB7EF8"/>
    <w:rsid w:val="00AC2B5E"/>
    <w:rsid w:val="00AD06AB"/>
    <w:rsid w:val="00AD437C"/>
    <w:rsid w:val="00AD4CD6"/>
    <w:rsid w:val="00AD4D81"/>
    <w:rsid w:val="00AD5F63"/>
    <w:rsid w:val="00AE129F"/>
    <w:rsid w:val="00AE1A75"/>
    <w:rsid w:val="00AE4590"/>
    <w:rsid w:val="00AF0FA5"/>
    <w:rsid w:val="00AF3383"/>
    <w:rsid w:val="00B01089"/>
    <w:rsid w:val="00B021B1"/>
    <w:rsid w:val="00B11F42"/>
    <w:rsid w:val="00B1319B"/>
    <w:rsid w:val="00B15388"/>
    <w:rsid w:val="00B2007B"/>
    <w:rsid w:val="00B202D3"/>
    <w:rsid w:val="00B21021"/>
    <w:rsid w:val="00B212B1"/>
    <w:rsid w:val="00B21940"/>
    <w:rsid w:val="00B23A1C"/>
    <w:rsid w:val="00B24B29"/>
    <w:rsid w:val="00B25F79"/>
    <w:rsid w:val="00B314CC"/>
    <w:rsid w:val="00B31924"/>
    <w:rsid w:val="00B341D2"/>
    <w:rsid w:val="00B4409E"/>
    <w:rsid w:val="00B44A61"/>
    <w:rsid w:val="00B45C0B"/>
    <w:rsid w:val="00B45F91"/>
    <w:rsid w:val="00B518F4"/>
    <w:rsid w:val="00B51C9B"/>
    <w:rsid w:val="00B52586"/>
    <w:rsid w:val="00B534AF"/>
    <w:rsid w:val="00B56A81"/>
    <w:rsid w:val="00B63E44"/>
    <w:rsid w:val="00B801D7"/>
    <w:rsid w:val="00B82794"/>
    <w:rsid w:val="00B950E5"/>
    <w:rsid w:val="00B979E2"/>
    <w:rsid w:val="00BA06A0"/>
    <w:rsid w:val="00BA075B"/>
    <w:rsid w:val="00BA3B0F"/>
    <w:rsid w:val="00BB30CD"/>
    <w:rsid w:val="00BB4BB1"/>
    <w:rsid w:val="00BB4C53"/>
    <w:rsid w:val="00BC0326"/>
    <w:rsid w:val="00BC1CFE"/>
    <w:rsid w:val="00BC253B"/>
    <w:rsid w:val="00BC4B68"/>
    <w:rsid w:val="00BC4CF5"/>
    <w:rsid w:val="00BC557F"/>
    <w:rsid w:val="00BC5D1D"/>
    <w:rsid w:val="00BD5D2A"/>
    <w:rsid w:val="00BE15FC"/>
    <w:rsid w:val="00C024AA"/>
    <w:rsid w:val="00C03BBA"/>
    <w:rsid w:val="00C03C96"/>
    <w:rsid w:val="00C04819"/>
    <w:rsid w:val="00C06BF8"/>
    <w:rsid w:val="00C07197"/>
    <w:rsid w:val="00C0736A"/>
    <w:rsid w:val="00C10DE7"/>
    <w:rsid w:val="00C1473F"/>
    <w:rsid w:val="00C1499F"/>
    <w:rsid w:val="00C15E13"/>
    <w:rsid w:val="00C15E1A"/>
    <w:rsid w:val="00C16D0E"/>
    <w:rsid w:val="00C2094A"/>
    <w:rsid w:val="00C224BF"/>
    <w:rsid w:val="00C23734"/>
    <w:rsid w:val="00C2444F"/>
    <w:rsid w:val="00C26189"/>
    <w:rsid w:val="00C272D9"/>
    <w:rsid w:val="00C351D6"/>
    <w:rsid w:val="00C36535"/>
    <w:rsid w:val="00C42FD1"/>
    <w:rsid w:val="00C43AE2"/>
    <w:rsid w:val="00C4799E"/>
    <w:rsid w:val="00C5250F"/>
    <w:rsid w:val="00C56D63"/>
    <w:rsid w:val="00C60F6B"/>
    <w:rsid w:val="00C63071"/>
    <w:rsid w:val="00C70939"/>
    <w:rsid w:val="00C71E69"/>
    <w:rsid w:val="00C75B10"/>
    <w:rsid w:val="00C75CDB"/>
    <w:rsid w:val="00C90645"/>
    <w:rsid w:val="00C9382E"/>
    <w:rsid w:val="00C94713"/>
    <w:rsid w:val="00C94A66"/>
    <w:rsid w:val="00C968D8"/>
    <w:rsid w:val="00CA0813"/>
    <w:rsid w:val="00CA150E"/>
    <w:rsid w:val="00CA17E2"/>
    <w:rsid w:val="00CB1D24"/>
    <w:rsid w:val="00CB33A0"/>
    <w:rsid w:val="00CC5F3F"/>
    <w:rsid w:val="00CD01D7"/>
    <w:rsid w:val="00CD021B"/>
    <w:rsid w:val="00CD34CF"/>
    <w:rsid w:val="00CD4F6D"/>
    <w:rsid w:val="00CD5D36"/>
    <w:rsid w:val="00CD6C2C"/>
    <w:rsid w:val="00CE3ACB"/>
    <w:rsid w:val="00CE3B38"/>
    <w:rsid w:val="00CE42B9"/>
    <w:rsid w:val="00CF4F54"/>
    <w:rsid w:val="00D06C9D"/>
    <w:rsid w:val="00D07620"/>
    <w:rsid w:val="00D13AD9"/>
    <w:rsid w:val="00D21EA4"/>
    <w:rsid w:val="00D23822"/>
    <w:rsid w:val="00D257D8"/>
    <w:rsid w:val="00D25CFD"/>
    <w:rsid w:val="00D27D46"/>
    <w:rsid w:val="00D302FA"/>
    <w:rsid w:val="00D30FDA"/>
    <w:rsid w:val="00D346F2"/>
    <w:rsid w:val="00D36E2F"/>
    <w:rsid w:val="00D42FB5"/>
    <w:rsid w:val="00D44256"/>
    <w:rsid w:val="00D443FA"/>
    <w:rsid w:val="00D637A2"/>
    <w:rsid w:val="00D64206"/>
    <w:rsid w:val="00D71D2A"/>
    <w:rsid w:val="00D73ABD"/>
    <w:rsid w:val="00D74DB5"/>
    <w:rsid w:val="00D75B11"/>
    <w:rsid w:val="00D8160B"/>
    <w:rsid w:val="00D81E28"/>
    <w:rsid w:val="00D82B90"/>
    <w:rsid w:val="00D842CE"/>
    <w:rsid w:val="00D85710"/>
    <w:rsid w:val="00D871DC"/>
    <w:rsid w:val="00D8760A"/>
    <w:rsid w:val="00D87A6B"/>
    <w:rsid w:val="00DA1465"/>
    <w:rsid w:val="00DA5434"/>
    <w:rsid w:val="00DA621F"/>
    <w:rsid w:val="00DA7692"/>
    <w:rsid w:val="00DB0594"/>
    <w:rsid w:val="00DB1384"/>
    <w:rsid w:val="00DB39B0"/>
    <w:rsid w:val="00DC1338"/>
    <w:rsid w:val="00DC16CA"/>
    <w:rsid w:val="00DC295F"/>
    <w:rsid w:val="00DC5E10"/>
    <w:rsid w:val="00DD035B"/>
    <w:rsid w:val="00DD35A9"/>
    <w:rsid w:val="00DD3D82"/>
    <w:rsid w:val="00DD427E"/>
    <w:rsid w:val="00DD7E43"/>
    <w:rsid w:val="00DE1832"/>
    <w:rsid w:val="00DF0E6C"/>
    <w:rsid w:val="00DF3259"/>
    <w:rsid w:val="00DF61B5"/>
    <w:rsid w:val="00E06EC9"/>
    <w:rsid w:val="00E079E6"/>
    <w:rsid w:val="00E12716"/>
    <w:rsid w:val="00E129A9"/>
    <w:rsid w:val="00E141A1"/>
    <w:rsid w:val="00E2651A"/>
    <w:rsid w:val="00E26D79"/>
    <w:rsid w:val="00E27015"/>
    <w:rsid w:val="00E30952"/>
    <w:rsid w:val="00E325C4"/>
    <w:rsid w:val="00E37145"/>
    <w:rsid w:val="00E373DB"/>
    <w:rsid w:val="00E419EB"/>
    <w:rsid w:val="00E4685F"/>
    <w:rsid w:val="00E51383"/>
    <w:rsid w:val="00E54249"/>
    <w:rsid w:val="00E5532A"/>
    <w:rsid w:val="00E606AE"/>
    <w:rsid w:val="00E6464E"/>
    <w:rsid w:val="00E65771"/>
    <w:rsid w:val="00E65D94"/>
    <w:rsid w:val="00E679F1"/>
    <w:rsid w:val="00E703D1"/>
    <w:rsid w:val="00E77983"/>
    <w:rsid w:val="00E80983"/>
    <w:rsid w:val="00E8133C"/>
    <w:rsid w:val="00E833CC"/>
    <w:rsid w:val="00E86D75"/>
    <w:rsid w:val="00E90707"/>
    <w:rsid w:val="00E90A7E"/>
    <w:rsid w:val="00E91A69"/>
    <w:rsid w:val="00E929FB"/>
    <w:rsid w:val="00E9310A"/>
    <w:rsid w:val="00E93701"/>
    <w:rsid w:val="00EB5845"/>
    <w:rsid w:val="00EB5897"/>
    <w:rsid w:val="00EC09E4"/>
    <w:rsid w:val="00EC45AF"/>
    <w:rsid w:val="00EC59B6"/>
    <w:rsid w:val="00EC6D84"/>
    <w:rsid w:val="00ED0F52"/>
    <w:rsid w:val="00ED512F"/>
    <w:rsid w:val="00ED52E1"/>
    <w:rsid w:val="00EE0E1C"/>
    <w:rsid w:val="00EE2C5C"/>
    <w:rsid w:val="00EE311F"/>
    <w:rsid w:val="00EE6A66"/>
    <w:rsid w:val="00EF3A73"/>
    <w:rsid w:val="00EF434E"/>
    <w:rsid w:val="00EF5446"/>
    <w:rsid w:val="00EF64A1"/>
    <w:rsid w:val="00F075E6"/>
    <w:rsid w:val="00F076E3"/>
    <w:rsid w:val="00F07E66"/>
    <w:rsid w:val="00F103B1"/>
    <w:rsid w:val="00F11BAF"/>
    <w:rsid w:val="00F14400"/>
    <w:rsid w:val="00F15777"/>
    <w:rsid w:val="00F20A93"/>
    <w:rsid w:val="00F22463"/>
    <w:rsid w:val="00F225A2"/>
    <w:rsid w:val="00F23FD4"/>
    <w:rsid w:val="00F24DF8"/>
    <w:rsid w:val="00F26050"/>
    <w:rsid w:val="00F2743E"/>
    <w:rsid w:val="00F2793E"/>
    <w:rsid w:val="00F4363D"/>
    <w:rsid w:val="00F43CAF"/>
    <w:rsid w:val="00F45379"/>
    <w:rsid w:val="00F46F95"/>
    <w:rsid w:val="00F51946"/>
    <w:rsid w:val="00F519DE"/>
    <w:rsid w:val="00F52375"/>
    <w:rsid w:val="00F63C95"/>
    <w:rsid w:val="00F6773B"/>
    <w:rsid w:val="00F71766"/>
    <w:rsid w:val="00F7379B"/>
    <w:rsid w:val="00F754F7"/>
    <w:rsid w:val="00F75E62"/>
    <w:rsid w:val="00F7757E"/>
    <w:rsid w:val="00F8288E"/>
    <w:rsid w:val="00F855EB"/>
    <w:rsid w:val="00F85BE6"/>
    <w:rsid w:val="00F95EBE"/>
    <w:rsid w:val="00FA05A8"/>
    <w:rsid w:val="00FA1CC3"/>
    <w:rsid w:val="00FA3EB0"/>
    <w:rsid w:val="00FA672D"/>
    <w:rsid w:val="00FA73E9"/>
    <w:rsid w:val="00FB0FB4"/>
    <w:rsid w:val="00FB2A52"/>
    <w:rsid w:val="00FB500D"/>
    <w:rsid w:val="00FB51C8"/>
    <w:rsid w:val="00FB670D"/>
    <w:rsid w:val="00FB697C"/>
    <w:rsid w:val="00FC08C5"/>
    <w:rsid w:val="00FC37A5"/>
    <w:rsid w:val="00FD356B"/>
    <w:rsid w:val="00FD4DE1"/>
    <w:rsid w:val="00FE0859"/>
    <w:rsid w:val="00FE1BDF"/>
    <w:rsid w:val="00FE3715"/>
    <w:rsid w:val="00FE6EEC"/>
    <w:rsid w:val="00FF1138"/>
    <w:rsid w:val="00FF57B1"/>
    <w:rsid w:val="013008FF"/>
    <w:rsid w:val="01703271"/>
    <w:rsid w:val="02230F3E"/>
    <w:rsid w:val="02B19AAB"/>
    <w:rsid w:val="038377E0"/>
    <w:rsid w:val="04B686E5"/>
    <w:rsid w:val="04D31527"/>
    <w:rsid w:val="068F2901"/>
    <w:rsid w:val="072880AB"/>
    <w:rsid w:val="07EB7C83"/>
    <w:rsid w:val="09342BEC"/>
    <w:rsid w:val="09A5E8AE"/>
    <w:rsid w:val="09CE4CFB"/>
    <w:rsid w:val="0A1C61BC"/>
    <w:rsid w:val="0A4750E5"/>
    <w:rsid w:val="0A4B1556"/>
    <w:rsid w:val="0A7D99C8"/>
    <w:rsid w:val="0C3E47C7"/>
    <w:rsid w:val="0C42B788"/>
    <w:rsid w:val="0C5E2789"/>
    <w:rsid w:val="0D6111BA"/>
    <w:rsid w:val="0D88CE08"/>
    <w:rsid w:val="0D98D1AB"/>
    <w:rsid w:val="0EC9ED30"/>
    <w:rsid w:val="0F468B5A"/>
    <w:rsid w:val="0F51804A"/>
    <w:rsid w:val="0F93F81B"/>
    <w:rsid w:val="106FD7A8"/>
    <w:rsid w:val="12980FEA"/>
    <w:rsid w:val="12B4502D"/>
    <w:rsid w:val="136D3049"/>
    <w:rsid w:val="14D09294"/>
    <w:rsid w:val="15112C42"/>
    <w:rsid w:val="1541185B"/>
    <w:rsid w:val="15646B11"/>
    <w:rsid w:val="17B5B141"/>
    <w:rsid w:val="184DC06E"/>
    <w:rsid w:val="186F5B25"/>
    <w:rsid w:val="18BD939A"/>
    <w:rsid w:val="18D80F92"/>
    <w:rsid w:val="199693FE"/>
    <w:rsid w:val="19FD4B9D"/>
    <w:rsid w:val="1A41303C"/>
    <w:rsid w:val="1AA460B7"/>
    <w:rsid w:val="1B081CD6"/>
    <w:rsid w:val="1BA6B175"/>
    <w:rsid w:val="1C2CA953"/>
    <w:rsid w:val="1C30EAE4"/>
    <w:rsid w:val="1C977F65"/>
    <w:rsid w:val="1CD2A906"/>
    <w:rsid w:val="1CE78746"/>
    <w:rsid w:val="1DAD5599"/>
    <w:rsid w:val="1DD8E321"/>
    <w:rsid w:val="1E19AB50"/>
    <w:rsid w:val="1E491EB5"/>
    <w:rsid w:val="1E715785"/>
    <w:rsid w:val="1F8A48B5"/>
    <w:rsid w:val="20774241"/>
    <w:rsid w:val="20EFCE30"/>
    <w:rsid w:val="212F9338"/>
    <w:rsid w:val="2179925E"/>
    <w:rsid w:val="21B269D2"/>
    <w:rsid w:val="22615D78"/>
    <w:rsid w:val="22CC3FA5"/>
    <w:rsid w:val="22D9A02F"/>
    <w:rsid w:val="23551D9D"/>
    <w:rsid w:val="238F28FD"/>
    <w:rsid w:val="23B9EEBB"/>
    <w:rsid w:val="244DCE3A"/>
    <w:rsid w:val="24A4C643"/>
    <w:rsid w:val="25A70D82"/>
    <w:rsid w:val="2740E7A4"/>
    <w:rsid w:val="275B013B"/>
    <w:rsid w:val="277FF598"/>
    <w:rsid w:val="282BED0F"/>
    <w:rsid w:val="2910523C"/>
    <w:rsid w:val="2985B630"/>
    <w:rsid w:val="29CD9AB6"/>
    <w:rsid w:val="29D2E024"/>
    <w:rsid w:val="29F295A7"/>
    <w:rsid w:val="2A1D1F60"/>
    <w:rsid w:val="2A5EAAE6"/>
    <w:rsid w:val="2A6C7183"/>
    <w:rsid w:val="2C1E9267"/>
    <w:rsid w:val="2C6BE7CD"/>
    <w:rsid w:val="2C9C5720"/>
    <w:rsid w:val="2CEB528F"/>
    <w:rsid w:val="2E6CBA2F"/>
    <w:rsid w:val="2E8DD6BB"/>
    <w:rsid w:val="2F026723"/>
    <w:rsid w:val="2F41135E"/>
    <w:rsid w:val="2FB06CD7"/>
    <w:rsid w:val="30A3A4E9"/>
    <w:rsid w:val="31740048"/>
    <w:rsid w:val="324B1C6F"/>
    <w:rsid w:val="32568843"/>
    <w:rsid w:val="32DEBB9A"/>
    <w:rsid w:val="33C0FC9C"/>
    <w:rsid w:val="3484E3C0"/>
    <w:rsid w:val="357E28A0"/>
    <w:rsid w:val="35D40025"/>
    <w:rsid w:val="36D92457"/>
    <w:rsid w:val="3741FFDD"/>
    <w:rsid w:val="376E783A"/>
    <w:rsid w:val="380C6A4C"/>
    <w:rsid w:val="38400CE0"/>
    <w:rsid w:val="38CD33EB"/>
    <w:rsid w:val="3931FFB0"/>
    <w:rsid w:val="39767013"/>
    <w:rsid w:val="3A65744F"/>
    <w:rsid w:val="3B9D8D80"/>
    <w:rsid w:val="3C16404F"/>
    <w:rsid w:val="3CDF3A87"/>
    <w:rsid w:val="3CE25348"/>
    <w:rsid w:val="3D06916E"/>
    <w:rsid w:val="3E37FDAA"/>
    <w:rsid w:val="3F3496AB"/>
    <w:rsid w:val="3FB5A2A0"/>
    <w:rsid w:val="40704886"/>
    <w:rsid w:val="40FC5D41"/>
    <w:rsid w:val="415A2E55"/>
    <w:rsid w:val="41D33B5C"/>
    <w:rsid w:val="425D6EDB"/>
    <w:rsid w:val="4273CBB0"/>
    <w:rsid w:val="42B258C7"/>
    <w:rsid w:val="42C357A6"/>
    <w:rsid w:val="436A634A"/>
    <w:rsid w:val="44CC97ED"/>
    <w:rsid w:val="45999807"/>
    <w:rsid w:val="46190727"/>
    <w:rsid w:val="46D5B046"/>
    <w:rsid w:val="474CA2C6"/>
    <w:rsid w:val="47953B3B"/>
    <w:rsid w:val="47C10851"/>
    <w:rsid w:val="47E7F26A"/>
    <w:rsid w:val="482C5136"/>
    <w:rsid w:val="485C3D3C"/>
    <w:rsid w:val="48AA7B79"/>
    <w:rsid w:val="48CA36BB"/>
    <w:rsid w:val="4983EABF"/>
    <w:rsid w:val="49B34392"/>
    <w:rsid w:val="49F08206"/>
    <w:rsid w:val="4BB0C07C"/>
    <w:rsid w:val="4C27C5E9"/>
    <w:rsid w:val="4CCF2F41"/>
    <w:rsid w:val="4CF5EFB7"/>
    <w:rsid w:val="4D3CE233"/>
    <w:rsid w:val="4D4C05D5"/>
    <w:rsid w:val="4DCB40BC"/>
    <w:rsid w:val="4DD758DE"/>
    <w:rsid w:val="4E57F544"/>
    <w:rsid w:val="4EC95310"/>
    <w:rsid w:val="4F67111D"/>
    <w:rsid w:val="5084842E"/>
    <w:rsid w:val="50C875A2"/>
    <w:rsid w:val="512D78C2"/>
    <w:rsid w:val="51A64D53"/>
    <w:rsid w:val="5207A2A1"/>
    <w:rsid w:val="527A4C99"/>
    <w:rsid w:val="52AAC08D"/>
    <w:rsid w:val="5303646D"/>
    <w:rsid w:val="5376E1A7"/>
    <w:rsid w:val="5388A595"/>
    <w:rsid w:val="53EFB5EE"/>
    <w:rsid w:val="5552BD10"/>
    <w:rsid w:val="5561E68A"/>
    <w:rsid w:val="556B54EF"/>
    <w:rsid w:val="5606FB8D"/>
    <w:rsid w:val="5673C2CF"/>
    <w:rsid w:val="56E537BB"/>
    <w:rsid w:val="572BFBB1"/>
    <w:rsid w:val="5734AF04"/>
    <w:rsid w:val="5743E33D"/>
    <w:rsid w:val="578B97DC"/>
    <w:rsid w:val="57948729"/>
    <w:rsid w:val="57A590C2"/>
    <w:rsid w:val="58B87A78"/>
    <w:rsid w:val="58FF5D77"/>
    <w:rsid w:val="58FFC188"/>
    <w:rsid w:val="5AA31065"/>
    <w:rsid w:val="5B8996DA"/>
    <w:rsid w:val="5C28FCAC"/>
    <w:rsid w:val="5C449D12"/>
    <w:rsid w:val="5C9A8F59"/>
    <w:rsid w:val="5CE4782F"/>
    <w:rsid w:val="5CF44B73"/>
    <w:rsid w:val="5D1E4E90"/>
    <w:rsid w:val="5F211129"/>
    <w:rsid w:val="5F3ED41B"/>
    <w:rsid w:val="60013133"/>
    <w:rsid w:val="60254D53"/>
    <w:rsid w:val="603E4A25"/>
    <w:rsid w:val="6061C08B"/>
    <w:rsid w:val="610F8F62"/>
    <w:rsid w:val="6257BC60"/>
    <w:rsid w:val="62744BD2"/>
    <w:rsid w:val="628AD10E"/>
    <w:rsid w:val="629C0540"/>
    <w:rsid w:val="62C39090"/>
    <w:rsid w:val="62E601E8"/>
    <w:rsid w:val="6380B6EF"/>
    <w:rsid w:val="64AA6E3D"/>
    <w:rsid w:val="64BCFCE8"/>
    <w:rsid w:val="6563362E"/>
    <w:rsid w:val="6587B9CC"/>
    <w:rsid w:val="65EF54AE"/>
    <w:rsid w:val="669A8663"/>
    <w:rsid w:val="66B1BD30"/>
    <w:rsid w:val="66C49510"/>
    <w:rsid w:val="671F7409"/>
    <w:rsid w:val="67640C08"/>
    <w:rsid w:val="67CBCB7C"/>
    <w:rsid w:val="67D78BFD"/>
    <w:rsid w:val="6851E299"/>
    <w:rsid w:val="692097A4"/>
    <w:rsid w:val="6923EE8C"/>
    <w:rsid w:val="69592D45"/>
    <w:rsid w:val="69BA1579"/>
    <w:rsid w:val="6A1F8AB9"/>
    <w:rsid w:val="6B7B210A"/>
    <w:rsid w:val="6B926494"/>
    <w:rsid w:val="6C255501"/>
    <w:rsid w:val="6D2396DC"/>
    <w:rsid w:val="6E7E989B"/>
    <w:rsid w:val="6F2D32DD"/>
    <w:rsid w:val="6F3EC5B9"/>
    <w:rsid w:val="6FEED843"/>
    <w:rsid w:val="70479EFB"/>
    <w:rsid w:val="70A0512E"/>
    <w:rsid w:val="70C929D9"/>
    <w:rsid w:val="714182ED"/>
    <w:rsid w:val="714A03BD"/>
    <w:rsid w:val="714C3F81"/>
    <w:rsid w:val="715BEC0A"/>
    <w:rsid w:val="71933A49"/>
    <w:rsid w:val="71B51402"/>
    <w:rsid w:val="72176B8C"/>
    <w:rsid w:val="7248F092"/>
    <w:rsid w:val="72DEF56C"/>
    <w:rsid w:val="735A3688"/>
    <w:rsid w:val="7398AD71"/>
    <w:rsid w:val="747D4B94"/>
    <w:rsid w:val="74FC6EBD"/>
    <w:rsid w:val="754D55F0"/>
    <w:rsid w:val="75FC7F05"/>
    <w:rsid w:val="7785AD4A"/>
    <w:rsid w:val="77F9452A"/>
    <w:rsid w:val="7938E7AE"/>
    <w:rsid w:val="7945281C"/>
    <w:rsid w:val="79D78EF6"/>
    <w:rsid w:val="7A4748D5"/>
    <w:rsid w:val="7A4C0FA1"/>
    <w:rsid w:val="7B37C111"/>
    <w:rsid w:val="7BCEAE02"/>
    <w:rsid w:val="7BE493DC"/>
    <w:rsid w:val="7C3D90A7"/>
    <w:rsid w:val="7D61FB48"/>
    <w:rsid w:val="7E181C9E"/>
    <w:rsid w:val="7E19AF1E"/>
    <w:rsid w:val="7FB048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4F5B4"/>
  <w15:chartTrackingRefBased/>
  <w15:docId w15:val="{339441A6-3FFC-4B55-985F-AFA81F72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after="12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C87"/>
  </w:style>
  <w:style w:type="paragraph" w:styleId="Heading1">
    <w:name w:val="heading 1"/>
    <w:basedOn w:val="Normal"/>
    <w:link w:val="Heading1Char"/>
    <w:uiPriority w:val="1"/>
    <w:qFormat/>
    <w:rsid w:val="00216DCB"/>
    <w:pPr>
      <w:widowControl w:val="0"/>
      <w:autoSpaceDE w:val="0"/>
      <w:autoSpaceDN w:val="0"/>
      <w:spacing w:before="360" w:line="276" w:lineRule="auto"/>
      <w:outlineLvl w:val="0"/>
    </w:pPr>
    <w:rPr>
      <w:rFonts w:eastAsia="Arial"/>
      <w:b/>
      <w:bCs/>
      <w:color w:val="3F9C35" w:themeColor="text2"/>
      <w:sz w:val="36"/>
      <w:szCs w:val="36"/>
    </w:rPr>
  </w:style>
  <w:style w:type="paragraph" w:styleId="Heading2">
    <w:name w:val="heading 2"/>
    <w:basedOn w:val="Normal"/>
    <w:next w:val="Normal"/>
    <w:link w:val="Heading2Char"/>
    <w:uiPriority w:val="9"/>
    <w:unhideWhenUsed/>
    <w:qFormat/>
    <w:rsid w:val="00000033"/>
    <w:pPr>
      <w:spacing w:before="280"/>
      <w:outlineLvl w:val="1"/>
    </w:pPr>
    <w:rPr>
      <w:b/>
      <w:bCs/>
      <w:color w:val="0094E0" w:themeColor="accent1"/>
      <w:sz w:val="32"/>
      <w:szCs w:val="32"/>
    </w:rPr>
  </w:style>
  <w:style w:type="paragraph" w:styleId="Heading3">
    <w:name w:val="heading 3"/>
    <w:basedOn w:val="Normal"/>
    <w:next w:val="Normal"/>
    <w:link w:val="Heading3Char"/>
    <w:uiPriority w:val="9"/>
    <w:unhideWhenUsed/>
    <w:qFormat/>
    <w:rsid w:val="00000033"/>
    <w:pPr>
      <w:outlineLvl w:val="2"/>
    </w:pPr>
    <w:rPr>
      <w:b/>
      <w:bCs/>
      <w:color w:val="C3009E" w:themeColor="accent6"/>
      <w:sz w:val="28"/>
      <w:szCs w:val="28"/>
    </w:rPr>
  </w:style>
  <w:style w:type="paragraph" w:styleId="Heading4">
    <w:name w:val="heading 4"/>
    <w:basedOn w:val="Normal"/>
    <w:next w:val="Normal"/>
    <w:link w:val="Heading4Char"/>
    <w:uiPriority w:val="9"/>
    <w:unhideWhenUsed/>
    <w:qFormat/>
    <w:rsid w:val="00216DCB"/>
    <w:pPr>
      <w:outlineLvl w:val="3"/>
    </w:pPr>
    <w:rPr>
      <w:b/>
      <w:bCs/>
    </w:rPr>
  </w:style>
  <w:style w:type="paragraph" w:styleId="Heading5">
    <w:name w:val="heading 5"/>
    <w:basedOn w:val="Normal"/>
    <w:next w:val="Normal"/>
    <w:link w:val="Heading5Char"/>
    <w:uiPriority w:val="9"/>
    <w:unhideWhenUsed/>
    <w:rsid w:val="00F11BAF"/>
    <w:pPr>
      <w:keepNext/>
      <w:keepLines/>
      <w:spacing w:before="40" w:after="0"/>
      <w:outlineLvl w:val="4"/>
    </w:pPr>
    <w:rPr>
      <w:rFonts w:asciiTheme="majorHAnsi" w:eastAsiaTheme="majorEastAsia" w:hAnsiTheme="majorHAnsi" w:cstheme="majorBidi"/>
      <w:color w:val="006EA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388"/>
    <w:pPr>
      <w:spacing w:before="60" w:after="60"/>
      <w:ind w:left="720"/>
      <w:contextualSpacing/>
    </w:pPr>
  </w:style>
  <w:style w:type="character" w:styleId="Hyperlink">
    <w:name w:val="Hyperlink"/>
    <w:basedOn w:val="DefaultParagraphFont"/>
    <w:uiPriority w:val="99"/>
    <w:unhideWhenUsed/>
    <w:qFormat/>
    <w:rsid w:val="00217803"/>
    <w:rPr>
      <w:rFonts w:asciiTheme="minorHAnsi" w:hAnsiTheme="minorHAnsi"/>
      <w:color w:val="0073CF" w:themeColor="hyperlink"/>
      <w:sz w:val="24"/>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C3009E"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3F9C35" w:themeColor="text2"/>
      <w:sz w:val="18"/>
      <w:szCs w:val="18"/>
    </w:rPr>
  </w:style>
  <w:style w:type="paragraph" w:styleId="Title">
    <w:name w:val="Title"/>
    <w:basedOn w:val="Normal"/>
    <w:link w:val="TitleChar"/>
    <w:uiPriority w:val="1"/>
    <w:qFormat/>
    <w:rsid w:val="00B15388"/>
    <w:pPr>
      <w:widowControl w:val="0"/>
      <w:autoSpaceDE w:val="0"/>
      <w:autoSpaceDN w:val="0"/>
      <w:spacing w:before="560"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15388"/>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216DCB"/>
    <w:rPr>
      <w:rFonts w:eastAsia="Arial"/>
      <w:b/>
      <w:bCs/>
      <w:color w:val="3F9C35" w:themeColor="text2"/>
      <w:sz w:val="36"/>
      <w:szCs w:val="36"/>
    </w:rPr>
  </w:style>
  <w:style w:type="character" w:customStyle="1" w:styleId="Heading2Char">
    <w:name w:val="Heading 2 Char"/>
    <w:basedOn w:val="DefaultParagraphFont"/>
    <w:link w:val="Heading2"/>
    <w:uiPriority w:val="9"/>
    <w:rsid w:val="00000033"/>
    <w:rPr>
      <w:b/>
      <w:bCs/>
      <w:color w:val="0094E0" w:themeColor="accent1"/>
      <w:sz w:val="32"/>
      <w:szCs w:val="32"/>
    </w:rPr>
  </w:style>
  <w:style w:type="character" w:customStyle="1" w:styleId="Heading3Char">
    <w:name w:val="Heading 3 Char"/>
    <w:basedOn w:val="DefaultParagraphFont"/>
    <w:link w:val="Heading3"/>
    <w:uiPriority w:val="9"/>
    <w:rsid w:val="00000033"/>
    <w:rPr>
      <w:b/>
      <w:bCs/>
      <w:color w:val="C3009E" w:themeColor="accent6"/>
      <w:sz w:val="28"/>
      <w:szCs w:val="28"/>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A40795"/>
    <w:pPr>
      <w:numPr>
        <w:ilvl w:val="1"/>
      </w:numPr>
      <w:spacing w:after="160"/>
    </w:pPr>
    <w:rPr>
      <w:rFonts w:eastAsiaTheme="minorEastAsia"/>
      <w:b/>
      <w:spacing w:val="10"/>
      <w:sz w:val="28"/>
    </w:rPr>
  </w:style>
  <w:style w:type="character" w:customStyle="1" w:styleId="SubtitleChar">
    <w:name w:val="Subtitle Char"/>
    <w:basedOn w:val="DefaultParagraphFont"/>
    <w:link w:val="Subtitle"/>
    <w:uiPriority w:val="11"/>
    <w:rsid w:val="00A40795"/>
    <w:rPr>
      <w:rFonts w:eastAsiaTheme="minorEastAsia"/>
      <w:b/>
      <w:spacing w:val="10"/>
      <w:sz w:val="28"/>
    </w:rPr>
  </w:style>
  <w:style w:type="character" w:customStyle="1" w:styleId="Heading4Char">
    <w:name w:val="Heading 4 Char"/>
    <w:basedOn w:val="DefaultParagraphFont"/>
    <w:link w:val="Heading4"/>
    <w:uiPriority w:val="9"/>
    <w:rsid w:val="00216DCB"/>
    <w:rPr>
      <w:b/>
      <w:bCs/>
    </w:rPr>
  </w:style>
  <w:style w:type="character" w:customStyle="1" w:styleId="Heading5Char">
    <w:name w:val="Heading 5 Char"/>
    <w:basedOn w:val="DefaultParagraphFont"/>
    <w:link w:val="Heading5"/>
    <w:uiPriority w:val="9"/>
    <w:rsid w:val="00F11BAF"/>
    <w:rPr>
      <w:rFonts w:asciiTheme="majorHAnsi" w:eastAsiaTheme="majorEastAsia" w:hAnsiTheme="majorHAnsi" w:cstheme="majorBidi"/>
      <w:color w:val="006EA7" w:themeColor="accent1" w:themeShade="BF"/>
    </w:rPr>
  </w:style>
  <w:style w:type="paragraph" w:styleId="EndnoteText">
    <w:name w:val="endnote text"/>
    <w:basedOn w:val="Normal"/>
    <w:link w:val="EndnoteTextChar"/>
    <w:uiPriority w:val="99"/>
    <w:unhideWhenUsed/>
    <w:rsid w:val="00AB1685"/>
    <w:rPr>
      <w:sz w:val="20"/>
      <w:szCs w:val="20"/>
      <w:lang w:val="en-CA"/>
    </w:rPr>
  </w:style>
  <w:style w:type="character" w:customStyle="1" w:styleId="EndnoteTextChar">
    <w:name w:val="Endnote Text Char"/>
    <w:basedOn w:val="DefaultParagraphFont"/>
    <w:link w:val="EndnoteText"/>
    <w:uiPriority w:val="99"/>
    <w:rsid w:val="00AB1685"/>
    <w:rPr>
      <w:sz w:val="20"/>
      <w:szCs w:val="20"/>
      <w:lang w:val="en-CA"/>
    </w:rPr>
  </w:style>
  <w:style w:type="character" w:styleId="EndnoteReference">
    <w:name w:val="endnote reference"/>
    <w:basedOn w:val="DefaultParagraphFont"/>
    <w:uiPriority w:val="99"/>
    <w:unhideWhenUsed/>
    <w:rsid w:val="00AB1685"/>
    <w:rPr>
      <w:vertAlign w:val="superscript"/>
    </w:rPr>
  </w:style>
  <w:style w:type="character" w:styleId="Emphasis">
    <w:name w:val="Emphasis"/>
    <w:basedOn w:val="DefaultParagraphFont"/>
    <w:uiPriority w:val="20"/>
    <w:qFormat/>
    <w:rsid w:val="00AB1685"/>
    <w:rPr>
      <w:i/>
      <w:iCs/>
    </w:rPr>
  </w:style>
  <w:style w:type="paragraph" w:styleId="TOC1">
    <w:name w:val="toc 1"/>
    <w:basedOn w:val="Normal"/>
    <w:next w:val="Normal"/>
    <w:autoRedefine/>
    <w:uiPriority w:val="39"/>
    <w:unhideWhenUsed/>
    <w:rsid w:val="00472290"/>
    <w:pPr>
      <w:tabs>
        <w:tab w:val="right" w:leader="dot" w:pos="9350"/>
      </w:tabs>
      <w:spacing w:before="0" w:after="0" w:line="264" w:lineRule="auto"/>
      <w:ind w:left="142" w:hanging="142"/>
    </w:pPr>
    <w:rPr>
      <w:b/>
      <w:bCs/>
      <w:noProof/>
      <w:lang w:val="en-CA"/>
    </w:rPr>
  </w:style>
  <w:style w:type="paragraph" w:styleId="Index1">
    <w:name w:val="index 1"/>
    <w:basedOn w:val="Normal"/>
    <w:next w:val="Normal"/>
    <w:link w:val="Index1Char"/>
    <w:autoRedefine/>
    <w:uiPriority w:val="99"/>
    <w:unhideWhenUsed/>
    <w:qFormat/>
    <w:rsid w:val="00046707"/>
    <w:pPr>
      <w:spacing w:before="0" w:after="0" w:line="240" w:lineRule="auto"/>
      <w:ind w:left="240" w:hanging="240"/>
    </w:pPr>
    <w:rPr>
      <w:b/>
    </w:rPr>
  </w:style>
  <w:style w:type="paragraph" w:styleId="Bibliography">
    <w:name w:val="Bibliography"/>
    <w:basedOn w:val="Normal"/>
    <w:next w:val="Normal"/>
    <w:uiPriority w:val="37"/>
    <w:unhideWhenUsed/>
    <w:rsid w:val="00494C87"/>
  </w:style>
  <w:style w:type="character" w:customStyle="1" w:styleId="Index1Char">
    <w:name w:val="Index 1 Char"/>
    <w:basedOn w:val="DefaultParagraphFont"/>
    <w:link w:val="Index1"/>
    <w:uiPriority w:val="99"/>
    <w:rsid w:val="00494C87"/>
    <w:rPr>
      <w:b/>
    </w:rPr>
  </w:style>
  <w:style w:type="paragraph" w:styleId="TOC2">
    <w:name w:val="toc 2"/>
    <w:basedOn w:val="Normal"/>
    <w:next w:val="Normal"/>
    <w:autoRedefine/>
    <w:uiPriority w:val="39"/>
    <w:unhideWhenUsed/>
    <w:rsid w:val="005F1EDE"/>
    <w:pPr>
      <w:tabs>
        <w:tab w:val="right" w:leader="dot" w:pos="9350"/>
      </w:tabs>
      <w:spacing w:before="0" w:after="0" w:line="240" w:lineRule="auto"/>
      <w:ind w:left="426" w:hanging="186"/>
    </w:pPr>
  </w:style>
  <w:style w:type="character" w:styleId="Strong">
    <w:name w:val="Strong"/>
    <w:basedOn w:val="DefaultParagraphFont"/>
    <w:uiPriority w:val="22"/>
    <w:qFormat/>
    <w:rsid w:val="002D30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5894">
      <w:bodyDiv w:val="1"/>
      <w:marLeft w:val="0"/>
      <w:marRight w:val="0"/>
      <w:marTop w:val="0"/>
      <w:marBottom w:val="0"/>
      <w:divBdr>
        <w:top w:val="none" w:sz="0" w:space="0" w:color="auto"/>
        <w:left w:val="none" w:sz="0" w:space="0" w:color="auto"/>
        <w:bottom w:val="none" w:sz="0" w:space="0" w:color="auto"/>
        <w:right w:val="none" w:sz="0" w:space="0" w:color="auto"/>
      </w:divBdr>
    </w:div>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 w:id="207573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thics.gc.ca/fra/tcps2-eptc2_2022_chapter9-chapitre9.html" TargetMode="External"/><Relationship Id="rId21" Type="http://schemas.openxmlformats.org/officeDocument/2006/relationships/hyperlink" Target="https://cihr-irsc.gc.ca/f/54487.html" TargetMode="External"/><Relationship Id="rId42" Type="http://schemas.openxmlformats.org/officeDocument/2006/relationships/hyperlink" Target="https://cihr-irsc.gc.ca/f/54487.html" TargetMode="External"/><Relationship Id="rId47" Type="http://schemas.openxmlformats.org/officeDocument/2006/relationships/hyperlink" Target="https://cihr-irsc.gc.ca/f/54487.html" TargetMode="External"/><Relationship Id="rId63" Type="http://schemas.openxmlformats.org/officeDocument/2006/relationships/hyperlink" Target="https://cihr-irsc.gc.ca/f/54487.html" TargetMode="External"/><Relationship Id="rId68" Type="http://schemas.openxmlformats.org/officeDocument/2006/relationships/hyperlink" Target="https://tcps2core.ca/welcome?lang=fr" TargetMode="External"/><Relationship Id="rId16" Type="http://schemas.openxmlformats.org/officeDocument/2006/relationships/hyperlink" Target="https://cihr-irsc.gc.ca/f/54487.html" TargetMode="External"/><Relationship Id="rId11" Type="http://schemas.openxmlformats.org/officeDocument/2006/relationships/footnotes" Target="footnotes.xml"/><Relationship Id="rId24" Type="http://schemas.openxmlformats.org/officeDocument/2006/relationships/hyperlink" Target="https://www.itk.ca/wp-content/uploads/2018/04/ITK_NISR-Report_French_low_res.pdf" TargetMode="External"/><Relationship Id="rId32" Type="http://schemas.openxmlformats.org/officeDocument/2006/relationships/hyperlink" Target="https://cihr-irsc.gc.ca/f/54487.html" TargetMode="External"/><Relationship Id="rId37" Type="http://schemas.openxmlformats.org/officeDocument/2006/relationships/hyperlink" Target="https://cihr-irsc.gc.ca/f/54487.html" TargetMode="External"/><Relationship Id="rId40" Type="http://schemas.openxmlformats.org/officeDocument/2006/relationships/hyperlink" Target="https://cihr-irsc.gc.ca/f/54487.html" TargetMode="External"/><Relationship Id="rId45" Type="http://schemas.openxmlformats.org/officeDocument/2006/relationships/hyperlink" Target="https://cihr-irsc.gc.ca/f/54487.html" TargetMode="External"/><Relationship Id="rId53" Type="http://schemas.openxmlformats.org/officeDocument/2006/relationships/hyperlink" Target="https://cihr-irsc.gc.ca/f/54487.html" TargetMode="External"/><Relationship Id="rId58" Type="http://schemas.openxmlformats.org/officeDocument/2006/relationships/hyperlink" Target="https://cihr-irsc.gc.ca/f/54487.html" TargetMode="External"/><Relationship Id="rId66" Type="http://schemas.openxmlformats.org/officeDocument/2006/relationships/hyperlink" Target="https://ca1.voxco.com/S2/?st=f3oOQBckR%2BaMwRAo6F29V6T90dGa1bTwEPeSFlNCaMw%3D&amp;mod=0&amp;lang=fr" TargetMode="External"/><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cihr-irsc.gc.ca/f/54487.html" TargetMode="External"/><Relationship Id="rId19" Type="http://schemas.openxmlformats.org/officeDocument/2006/relationships/hyperlink" Target="https://cihr-irsc.gc.ca/f/54487.html" TargetMode="External"/><Relationship Id="rId14" Type="http://schemas.openxmlformats.org/officeDocument/2006/relationships/hyperlink" Target="https://cihr-irsc.gc.ca/f/54487.html" TargetMode="External"/><Relationship Id="rId22" Type="http://schemas.openxmlformats.org/officeDocument/2006/relationships/hyperlink" Target="https://fnigc.ca/fr/les-principes-de-pcap-des-premieres-nations/" TargetMode="External"/><Relationship Id="rId27" Type="http://schemas.openxmlformats.org/officeDocument/2006/relationships/hyperlink" Target="https://sshrc-crsh.canada.ca/fr/financement/politiques-reglements-et-lignes-directrices/lignes-directrices-evaluation-merite-recherche-autochtone.aspx" TargetMode="External"/><Relationship Id="rId30" Type="http://schemas.openxmlformats.org/officeDocument/2006/relationships/hyperlink" Target="https://cihr-irsc.gc.ca/f/54487.html" TargetMode="External"/><Relationship Id="rId35" Type="http://schemas.openxmlformats.org/officeDocument/2006/relationships/hyperlink" Target="https://cihr-irsc.gc.ca/f/54487.html" TargetMode="External"/><Relationship Id="rId43" Type="http://schemas.openxmlformats.org/officeDocument/2006/relationships/hyperlink" Target="https://cihr-irsc.gc.ca/f/54486.html" TargetMode="External"/><Relationship Id="rId48" Type="http://schemas.openxmlformats.org/officeDocument/2006/relationships/hyperlink" Target="https://cihr-irsc.gc.ca/f/54487.html" TargetMode="External"/><Relationship Id="rId56" Type="http://schemas.openxmlformats.org/officeDocument/2006/relationships/hyperlink" Target="https://cihr-irsc.gc.ca/f/54487.html" TargetMode="External"/><Relationship Id="rId64" Type="http://schemas.openxmlformats.org/officeDocument/2006/relationships/hyperlink" Target="https://cihr-irsc.gc.ca/f/54487.html" TargetMode="External"/><Relationship Id="rId69" Type="http://schemas.openxmlformats.org/officeDocument/2006/relationships/hyperlink" Target="https://www.nserc-crsng.gc.ca/InterAgency-Interorganismes/EDI-EDI/index_fra.asp"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cihr-irsc.gc.ca/f/54487.html"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cihr-irsc.gc.ca/f/54487.html" TargetMode="External"/><Relationship Id="rId25" Type="http://schemas.openxmlformats.org/officeDocument/2006/relationships/hyperlink" Target="https://www.gida-global.org/care" TargetMode="External"/><Relationship Id="rId33" Type="http://schemas.openxmlformats.org/officeDocument/2006/relationships/hyperlink" Target="https://ethics.gc.ca/fra/tcps2-eptc2_2022_chapter2-chapitre2.html" TargetMode="External"/><Relationship Id="rId38" Type="http://schemas.openxmlformats.org/officeDocument/2006/relationships/hyperlink" Target="https://cihr-irsc.gc.ca/f/54487.html" TargetMode="External"/><Relationship Id="rId46" Type="http://schemas.openxmlformats.org/officeDocument/2006/relationships/hyperlink" Target="https://cihr-irsc.gc.ca/f/54487.html" TargetMode="External"/><Relationship Id="rId59" Type="http://schemas.openxmlformats.org/officeDocument/2006/relationships/hyperlink" Target="https://cihr-irsc.gc.ca/f/54487.html" TargetMode="External"/><Relationship Id="rId67" Type="http://schemas.openxmlformats.org/officeDocument/2006/relationships/hyperlink" Target="https://implicit.harvard.edu/implicit/user/demo.canadafr/demo.canadafr.demo.canadafr.2004.001/static/takeatest.html" TargetMode="External"/><Relationship Id="rId20" Type="http://schemas.openxmlformats.org/officeDocument/2006/relationships/hyperlink" Target="https://cihr-irsc.gc.ca/f/54487.html" TargetMode="External"/><Relationship Id="rId41" Type="http://schemas.openxmlformats.org/officeDocument/2006/relationships/hyperlink" Target="https://cihr-irsc.gc.ca/f/54487.html" TargetMode="External"/><Relationship Id="rId54" Type="http://schemas.openxmlformats.org/officeDocument/2006/relationships/hyperlink" Target="https://cihr-irsc.gc.ca/f/54487.html" TargetMode="External"/><Relationship Id="rId62" Type="http://schemas.openxmlformats.org/officeDocument/2006/relationships/hyperlink" Target="https://cihr-irsc.gc.ca/f/54487.html" TargetMode="External"/><Relationship Id="rId70" Type="http://schemas.openxmlformats.org/officeDocument/2006/relationships/hyperlink" Target="https://sanyas.ca/"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cihr-irsc.gc.ca/f/54487.html" TargetMode="External"/><Relationship Id="rId23" Type="http://schemas.openxmlformats.org/officeDocument/2006/relationships/hyperlink" Target="https://achh.ca/wp-content/uploads/2018/07/Guide_Ethics_NAHOMetisCentre.pdf" TargetMode="External"/><Relationship Id="rId28" Type="http://schemas.openxmlformats.org/officeDocument/2006/relationships/hyperlink" Target="https://cihr-irsc.gc.ca/f/54487.html" TargetMode="External"/><Relationship Id="rId36" Type="http://schemas.openxmlformats.org/officeDocument/2006/relationships/hyperlink" Target="https://cihr-irsc.gc.ca/f/54487.html" TargetMode="External"/><Relationship Id="rId49" Type="http://schemas.openxmlformats.org/officeDocument/2006/relationships/hyperlink" Target="https://cihr-irsc.gc.ca/f/54487.html" TargetMode="External"/><Relationship Id="rId57" Type="http://schemas.openxmlformats.org/officeDocument/2006/relationships/hyperlink" Target="https://cihr-irsc.gc.ca/f/54487.html" TargetMode="External"/><Relationship Id="rId10" Type="http://schemas.openxmlformats.org/officeDocument/2006/relationships/webSettings" Target="webSettings.xml"/><Relationship Id="rId31" Type="http://schemas.openxmlformats.org/officeDocument/2006/relationships/hyperlink" Target="https://cihr-irsc.gc.ca/f/54487.html" TargetMode="External"/><Relationship Id="rId44" Type="http://schemas.openxmlformats.org/officeDocument/2006/relationships/hyperlink" Target="https://cihr-irsc.gc.ca/f/54487.html" TargetMode="External"/><Relationship Id="rId52" Type="http://schemas.openxmlformats.org/officeDocument/2006/relationships/hyperlink" Target="https://cihr-irsc.gc.ca/f/54487.html" TargetMode="External"/><Relationship Id="rId60" Type="http://schemas.openxmlformats.org/officeDocument/2006/relationships/hyperlink" Target="https://cihr-irsc.gc.ca/f/54487.html" TargetMode="External"/><Relationship Id="rId65" Type="http://schemas.openxmlformats.org/officeDocument/2006/relationships/hyperlink" Target="https://cihr-irsc.gc.ca/f/54487.html" TargetMode="External"/><Relationship Id="rId73"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cihr-irsc.gc.ca/f/54487.html" TargetMode="External"/><Relationship Id="rId18" Type="http://schemas.openxmlformats.org/officeDocument/2006/relationships/hyperlink" Target="https://cihr-irsc.gc.ca/f/54487.html" TargetMode="External"/><Relationship Id="rId39" Type="http://schemas.openxmlformats.org/officeDocument/2006/relationships/hyperlink" Target="https://cihr-irsc.gc.ca/f/54487.html" TargetMode="External"/><Relationship Id="rId34" Type="http://schemas.openxmlformats.org/officeDocument/2006/relationships/hyperlink" Target="https://cihr-irsc.gc.ca/f/54487.html" TargetMode="External"/><Relationship Id="rId50" Type="http://schemas.openxmlformats.org/officeDocument/2006/relationships/hyperlink" Target="https://cihr-irsc.gc.ca/f/54487.html" TargetMode="External"/><Relationship Id="rId55" Type="http://schemas.openxmlformats.org/officeDocument/2006/relationships/hyperlink" Target="https://cihr-irsc.gc.ca/f/54487.html"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cihr-irsc.gc.ca/f/54487.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E1F8AC425C477FA8D7DFC7C486D328"/>
        <w:category>
          <w:name w:val="General"/>
          <w:gallery w:val="placeholder"/>
        </w:category>
        <w:types>
          <w:type w:val="bbPlcHdr"/>
        </w:types>
        <w:behaviors>
          <w:behavior w:val="content"/>
        </w:behaviors>
        <w:guid w:val="{A5D1B4C0-A464-4860-BF36-2A398B272488}"/>
      </w:docPartPr>
      <w:docPartBody>
        <w:p w:rsidR="00576CAE" w:rsidRDefault="00576CAE">
          <w:r w:rsidRPr="002A745F">
            <w:rPr>
              <w:rStyle w:val="PlaceholderText"/>
            </w:rPr>
            <w:t>[Title]</w:t>
          </w:r>
        </w:p>
      </w:docPartBody>
    </w:docPart>
    <w:docPart>
      <w:docPartPr>
        <w:name w:val="4BE4141853AE465388AD40597F27AF43"/>
        <w:category>
          <w:name w:val="General"/>
          <w:gallery w:val="placeholder"/>
        </w:category>
        <w:types>
          <w:type w:val="bbPlcHdr"/>
        </w:types>
        <w:behaviors>
          <w:behavior w:val="content"/>
        </w:behaviors>
        <w:guid w:val="{1823AAE8-05E6-4A0D-B40C-154BC015E324}"/>
      </w:docPartPr>
      <w:docPartBody>
        <w:p w:rsidR="006A3DDD" w:rsidRDefault="00237AD6">
          <w:r w:rsidRPr="00FB01E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AE"/>
    <w:rsid w:val="00007C0F"/>
    <w:rsid w:val="00025777"/>
    <w:rsid w:val="001910C2"/>
    <w:rsid w:val="00237AD6"/>
    <w:rsid w:val="0025378F"/>
    <w:rsid w:val="002A3623"/>
    <w:rsid w:val="002D5D0C"/>
    <w:rsid w:val="004C1EC3"/>
    <w:rsid w:val="004D0F56"/>
    <w:rsid w:val="004D39F7"/>
    <w:rsid w:val="00545092"/>
    <w:rsid w:val="00576CAE"/>
    <w:rsid w:val="005C11B1"/>
    <w:rsid w:val="005C31BB"/>
    <w:rsid w:val="005F638E"/>
    <w:rsid w:val="00693BF1"/>
    <w:rsid w:val="006A3DDD"/>
    <w:rsid w:val="006A6D8A"/>
    <w:rsid w:val="00707490"/>
    <w:rsid w:val="00824301"/>
    <w:rsid w:val="008255C5"/>
    <w:rsid w:val="0086418B"/>
    <w:rsid w:val="008A165F"/>
    <w:rsid w:val="009F3BE1"/>
    <w:rsid w:val="00A159FF"/>
    <w:rsid w:val="00A821F5"/>
    <w:rsid w:val="00B3707B"/>
    <w:rsid w:val="00B4409E"/>
    <w:rsid w:val="00B56A81"/>
    <w:rsid w:val="00BA075B"/>
    <w:rsid w:val="00BC225F"/>
    <w:rsid w:val="00C0736A"/>
    <w:rsid w:val="00C2444F"/>
    <w:rsid w:val="00C36535"/>
    <w:rsid w:val="00C43AE2"/>
    <w:rsid w:val="00C61FC9"/>
    <w:rsid w:val="00D06C9D"/>
    <w:rsid w:val="00DC1338"/>
    <w:rsid w:val="00DD7DFB"/>
    <w:rsid w:val="00E27015"/>
    <w:rsid w:val="00F15777"/>
    <w:rsid w:val="00FE1BDF"/>
    <w:rsid w:val="00FE61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E"/>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AD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IHR">
      <a:dk1>
        <a:srgbClr val="000000"/>
      </a:dk1>
      <a:lt1>
        <a:sysClr val="window" lastClr="FFFFFF"/>
      </a:lt1>
      <a:dk2>
        <a:srgbClr val="3F9C35"/>
      </a:dk2>
      <a:lt2>
        <a:srgbClr val="EEECE1"/>
      </a:lt2>
      <a:accent1>
        <a:srgbClr val="0094E0"/>
      </a:accent1>
      <a:accent2>
        <a:srgbClr val="FF7900"/>
      </a:accent2>
      <a:accent3>
        <a:srgbClr val="7AB800"/>
      </a:accent3>
      <a:accent4>
        <a:srgbClr val="0073CF"/>
      </a:accent4>
      <a:accent5>
        <a:srgbClr val="63CECA"/>
      </a:accent5>
      <a:accent6>
        <a:srgbClr val="C3009E"/>
      </a:accent6>
      <a:hlink>
        <a:srgbClr val="0073CF"/>
      </a:hlink>
      <a:folHlink>
        <a:srgbClr val="C300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2025-11-06T00:00:00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241f02ea-e2f7-4e11-ac4b-db1b8bdcd25a">
      <UserInfo>
        <DisplayName>Fernandes, Alexander (CIHR/IRSC)</DisplayName>
        <AccountId>44</AccountId>
        <AccountType/>
      </UserInfo>
      <UserInfo>
        <DisplayName>Palmer, Matthew (CIHR/IRSC)</DisplayName>
        <AccountId>30</AccountId>
        <AccountType/>
      </UserInfo>
    </SharedWithUsers>
    <Comment xmlns="17ca9d0f-d15a-4459-bdd6-d4e3f46a8772" xsi:nil="true"/>
    <lcf76f155ced4ddcb4097134ff3c332f xmlns="17ca9d0f-d15a-4459-bdd6-d4e3f46a8772">
      <Terms xmlns="http://schemas.microsoft.com/office/infopath/2007/PartnerControls"/>
    </lcf76f155ced4ddcb4097134ff3c332f>
    <TaxCatchAll xmlns="241f02ea-e2f7-4e11-ac4b-db1b8bdcd25a" xsi:nil="true"/>
    <_Flow_SignoffStatus xmlns="17ca9d0f-d15a-4459-bdd6-d4e3f46a8772" xsi:nil="true"/>
    <Tag xmlns="17ca9d0f-d15a-4459-bdd6-d4e3f46a8772" xsi:nil="true"/>
    <Status xmlns="17ca9d0f-d15a-4459-bdd6-d4e3f46a8772" xsi:nil="true"/>
    <_dlc_DocId xmlns="241f02ea-e2f7-4e11-ac4b-db1b8bdcd25a">SQZ5YAR7JCH6-313249084-161090</_dlc_DocId>
    <_dlc_DocIdUrl xmlns="241f02ea-e2f7-4e11-ac4b-db1b8bdcd25a">
      <Url>https://061gc.sharepoint.com/sites/LearningandMentoring/_layouts/15/DocIdRedir.aspx?ID=SQZ5YAR7JCH6-313249084-161090</Url>
      <Description>SQZ5YAR7JCH6-313249084-161090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5" ma:contentTypeDescription="Create a new document." ma:contentTypeScope="" ma:versionID="77d0f8eafaf626c91474564709200fcc">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d81597753a54054306ec6e95f41a01c1"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element ref="ns2:MediaServiceBilling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241f02ea-e2f7-4e11-ac4b-db1b8bdcd25a"/>
    <ds:schemaRef ds:uri="17ca9d0f-d15a-4459-bdd6-d4e3f46a8772"/>
  </ds:schemaRefs>
</ds:datastoreItem>
</file>

<file path=customXml/itemProps3.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4.xml><?xml version="1.0" encoding="utf-8"?>
<ds:datastoreItem xmlns:ds="http://schemas.openxmlformats.org/officeDocument/2006/customXml" ds:itemID="{A3910D3D-179F-46C7-9DC8-239E7D824D5B}">
  <ds:schemaRefs>
    <ds:schemaRef ds:uri="http://schemas.microsoft.com/sharepoint/events"/>
  </ds:schemaRefs>
</ds:datastoreItem>
</file>

<file path=customXml/itemProps5.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6.xml><?xml version="1.0" encoding="utf-8"?>
<ds:datastoreItem xmlns:ds="http://schemas.openxmlformats.org/officeDocument/2006/customXml" ds:itemID="{F89BBBD1-56A7-48C9-8779-9FB1651E5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19</Pages>
  <Words>5844</Words>
  <Characters>32963</Characters>
  <Application>Microsoft Office Word</Application>
  <DocSecurity>0</DocSecurity>
  <Lines>531</Lines>
  <Paragraphs>281</Paragraphs>
  <ScaleCrop>false</ScaleCrop>
  <HeadingPairs>
    <vt:vector size="2" baseType="variant">
      <vt:variant>
        <vt:lpstr>Title</vt:lpstr>
      </vt:variant>
      <vt:variant>
        <vt:i4>1</vt:i4>
      </vt:variant>
    </vt:vector>
  </HeadingPairs>
  <TitlesOfParts>
    <vt:vector size="1" baseType="lpstr">
      <vt:lpstr/>
    </vt:vector>
  </TitlesOfParts>
  <Company>Canadian Institutes of Health Research</Company>
  <LinksUpToDate>false</LinksUpToDate>
  <CharactersWithSpaces>38526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Préjugés dans l'évaluation par les pairs – Transcription</dc:title>
  <dc:subject/>
  <dc:creator>Palmer, Matthew (CIHR/IRSC)</dc:creator>
  <cp:keywords/>
  <dc:description/>
  <cp:lastModifiedBy>White, Brandon (CIHR/IRSC)</cp:lastModifiedBy>
  <cp:revision>3</cp:revision>
  <cp:lastPrinted>2023-08-31T17:57:00Z</cp:lastPrinted>
  <dcterms:created xsi:type="dcterms:W3CDTF">2026-03-13T12:57:00Z</dcterms:created>
  <dcterms:modified xsi:type="dcterms:W3CDTF">2026-03-13T17:37:00Z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_dlc_DocIdItemGuid">
    <vt:lpwstr>47845ec0-4d32-4306-911b-8bfc766971fd</vt:lpwstr>
  </property>
</Properties>
</file>