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DBCD2" w14:textId="78A6DD36" w:rsidR="00A84FEA" w:rsidRPr="00177154" w:rsidRDefault="00A84FEA" w:rsidP="00E72191">
      <w:pPr>
        <w:pStyle w:val="Title"/>
        <w:rPr>
          <w:rStyle w:val="eop"/>
          <w:lang w:val="fr-CA"/>
        </w:rPr>
      </w:pPr>
      <w:bookmarkStart w:id="0" w:name="lt_pId014"/>
      <w:r w:rsidRPr="00177154">
        <w:rPr>
          <w:rStyle w:val="normaltextrun"/>
          <w:lang w:val="fr-CA"/>
        </w:rPr>
        <w:t>Les préjugés dans l’écosystème de recherche</w:t>
      </w:r>
      <w:r w:rsidR="00E72191">
        <w:rPr>
          <w:rStyle w:val="normaltextrun"/>
          <w:lang w:val="fr-CA"/>
        </w:rPr>
        <w:t xml:space="preserve"> : </w:t>
      </w:r>
      <w:r w:rsidRPr="00177154">
        <w:rPr>
          <w:rStyle w:val="eop"/>
          <w:lang w:val="fr-CA"/>
        </w:rPr>
        <w:t>Transcription</w:t>
      </w:r>
    </w:p>
    <w:p w14:paraId="1942EF0F" w14:textId="520485BA" w:rsidR="00A84FEA" w:rsidRPr="00177154" w:rsidRDefault="00A84FEA" w:rsidP="00A84FEA">
      <w:pPr>
        <w:pStyle w:val="Heading1"/>
        <w:rPr>
          <w:lang w:val="fr-CA"/>
        </w:rPr>
      </w:pPr>
      <w:r w:rsidRPr="00177154">
        <w:rPr>
          <w:lang w:val="fr-CA"/>
        </w:rPr>
        <w:t>Titre</w:t>
      </w:r>
    </w:p>
    <w:p w14:paraId="2C1BA66A" w14:textId="485EEC99" w:rsidR="003E7380" w:rsidRPr="00177154" w:rsidRDefault="003E7380" w:rsidP="00E174E6">
      <w:pPr>
        <w:rPr>
          <w:rFonts w:ascii="Segoe UI" w:hAnsi="Segoe UI" w:cs="Segoe UI"/>
          <w:szCs w:val="22"/>
          <w:lang w:val="fr-CA"/>
        </w:rPr>
      </w:pPr>
      <w:r w:rsidRPr="00177154">
        <w:rPr>
          <w:rStyle w:val="normaltextrun"/>
          <w:rFonts w:cs="Calibri"/>
          <w:lang w:val="fr-CA"/>
        </w:rPr>
        <w:t>Bienvenue dans le module 1</w:t>
      </w:r>
      <w:bookmarkEnd w:id="0"/>
      <w:r w:rsidR="00B843CA" w:rsidRPr="00177154">
        <w:rPr>
          <w:rStyle w:val="normaltextrun"/>
          <w:rFonts w:cs="Calibri"/>
          <w:lang w:val="fr-CA"/>
        </w:rPr>
        <w:t xml:space="preserve"> : </w:t>
      </w:r>
      <w:bookmarkStart w:id="1" w:name="lt_pId015"/>
      <w:r w:rsidRPr="00177154">
        <w:rPr>
          <w:rStyle w:val="normaltextrun"/>
          <w:rFonts w:cs="Calibri"/>
          <w:lang w:val="fr-CA"/>
        </w:rPr>
        <w:t>Les préjugés dans l’écosystème de recherch</w:t>
      </w:r>
      <w:bookmarkEnd w:id="1"/>
      <w:r w:rsidR="00B843CA" w:rsidRPr="00177154">
        <w:rPr>
          <w:rStyle w:val="normaltextrun"/>
          <w:rFonts w:cs="Calibri"/>
          <w:lang w:val="fr-CA"/>
        </w:rPr>
        <w:t>e.</w:t>
      </w:r>
      <w:bookmarkStart w:id="2" w:name="lt_pId016"/>
      <w:r w:rsidR="00B843CA" w:rsidRPr="00177154">
        <w:rPr>
          <w:rStyle w:val="normaltextrun"/>
          <w:rFonts w:cs="Calibri"/>
          <w:lang w:val="fr-CA"/>
        </w:rPr>
        <w:t xml:space="preserve"> </w:t>
      </w:r>
      <w:r w:rsidRPr="00177154">
        <w:rPr>
          <w:lang w:val="fr-CA"/>
        </w:rPr>
        <w:t xml:space="preserve">L’objectif de ces modules est de permettre aux membres des comités d’évaluation par les pairs et d’évaluation du mérite, notamment les </w:t>
      </w:r>
      <w:r w:rsidR="00790058">
        <w:rPr>
          <w:lang w:val="fr-CA"/>
        </w:rPr>
        <w:t>chercheurs</w:t>
      </w:r>
      <w:r w:rsidRPr="00177154">
        <w:rPr>
          <w:lang w:val="fr-CA"/>
        </w:rPr>
        <w:t>, les membres d’une communauté, les utilisateurs des connaissances et les détenteurs de savoirs traditionnels, de comprendre les préjugés et la manière dont ils peuvent exercer une influence dans l’écosystème de la recherche.</w:t>
      </w:r>
      <w:bookmarkEnd w:id="2"/>
    </w:p>
    <w:p w14:paraId="3BCBFBE3" w14:textId="1E35227D" w:rsidR="003E7380" w:rsidRPr="00177154" w:rsidRDefault="003E7380" w:rsidP="00B843CA">
      <w:pPr>
        <w:pStyle w:val="Heading1"/>
        <w:rPr>
          <w:lang w:val="fr-CA"/>
        </w:rPr>
      </w:pPr>
      <w:r w:rsidRPr="00177154">
        <w:rPr>
          <w:lang w:val="fr-CA"/>
        </w:rPr>
        <w:t xml:space="preserve">Quelques </w:t>
      </w:r>
      <w:r w:rsidR="00E33AAD" w:rsidRPr="00E33AAD">
        <w:rPr>
          <w:lang w:val="fr-CA"/>
        </w:rPr>
        <w:t xml:space="preserve">précisions </w:t>
      </w:r>
      <w:r w:rsidRPr="00177154">
        <w:rPr>
          <w:lang w:val="fr-CA"/>
        </w:rPr>
        <w:t>avant de commencer</w:t>
      </w:r>
    </w:p>
    <w:p w14:paraId="20118035" w14:textId="2BBC867D" w:rsidR="003E7380" w:rsidRPr="00177154" w:rsidRDefault="003E7380" w:rsidP="00E174E6">
      <w:pPr>
        <w:rPr>
          <w:rStyle w:val="normaltextrun"/>
          <w:lang w:val="fr-CA"/>
        </w:rPr>
      </w:pPr>
      <w:r w:rsidRPr="00177154">
        <w:rPr>
          <w:rFonts w:ascii="Calibri" w:hAnsi="Calibri" w:cs="Calibri"/>
          <w:szCs w:val="22"/>
          <w:lang w:val="fr-CA"/>
        </w:rPr>
        <w:t>Pour une expérience optimale, utilisez Google Chrome ou Microsoft Edge à partir d’un Mac ou d’un PC. Certains outils d’accessibilité peuvent ne pas fonctionner dans d’autres navigateurs.</w:t>
      </w:r>
      <w:r w:rsidR="00B843CA" w:rsidRPr="00177154">
        <w:rPr>
          <w:rFonts w:ascii="Calibri" w:hAnsi="Calibri" w:cs="Calibri"/>
          <w:szCs w:val="22"/>
          <w:lang w:val="fr-CA"/>
        </w:rPr>
        <w:t xml:space="preserve"> </w:t>
      </w:r>
      <w:r w:rsidRPr="00177154">
        <w:rPr>
          <w:rFonts w:ascii="Calibri" w:hAnsi="Calibri" w:cs="Calibri"/>
          <w:szCs w:val="22"/>
          <w:lang w:val="fr-CA"/>
        </w:rPr>
        <w:t>Dans les rares cas où la narration diffère du texte à l’écran, des sous-titres codés s’afficheront.</w:t>
      </w:r>
      <w:r w:rsidR="00B843CA" w:rsidRPr="00177154">
        <w:rPr>
          <w:rFonts w:ascii="Calibri" w:hAnsi="Calibri" w:cs="Calibri"/>
          <w:szCs w:val="22"/>
          <w:lang w:val="fr-CA"/>
        </w:rPr>
        <w:t xml:space="preserve"> </w:t>
      </w:r>
      <w:r w:rsidRPr="00177154">
        <w:rPr>
          <w:lang w:val="fr-CA"/>
        </w:rPr>
        <w:t xml:space="preserve">Comme le jargon évolue constamment, le contenu sera actualisé sur une base régulière, s’il y a lieu. </w:t>
      </w:r>
    </w:p>
    <w:p w14:paraId="5A703224" w14:textId="77777777" w:rsidR="003E7380" w:rsidRPr="00177154" w:rsidRDefault="003E7380" w:rsidP="00B843CA">
      <w:pPr>
        <w:pStyle w:val="Heading1"/>
        <w:rPr>
          <w:lang w:val="fr-CA"/>
        </w:rPr>
      </w:pPr>
      <w:r w:rsidRPr="00177154">
        <w:rPr>
          <w:lang w:val="fr-CA"/>
        </w:rPr>
        <w:t>Naviguer dans ce module</w:t>
      </w:r>
      <w:bookmarkStart w:id="3" w:name="lt_pId024"/>
    </w:p>
    <w:p w14:paraId="4CC07D20" w14:textId="16E8D7D8" w:rsidR="003E7380" w:rsidRPr="00177154" w:rsidRDefault="003E7380" w:rsidP="00E174E6">
      <w:pPr>
        <w:rPr>
          <w:szCs w:val="22"/>
          <w:lang w:val="fr-CA"/>
        </w:rPr>
      </w:pPr>
      <w:r w:rsidRPr="00177154">
        <w:rPr>
          <w:lang w:val="fr-CA"/>
        </w:rPr>
        <w:t>Utilisez la barre de lecture pour suspendre la lecture, passer d’une diapositive à l’autre ou couper le son.</w:t>
      </w:r>
      <w:bookmarkEnd w:id="3"/>
      <w:r w:rsidRPr="00177154">
        <w:rPr>
          <w:lang w:val="fr-CA"/>
        </w:rPr>
        <w:t xml:space="preserve"> </w:t>
      </w:r>
      <w:bookmarkStart w:id="4" w:name="lt_pId025"/>
      <w:r w:rsidRPr="00177154">
        <w:rPr>
          <w:lang w:val="fr-CA"/>
        </w:rPr>
        <w:t>Vous pouvez également activer et désactiver les sous-titres, consulter la table des matières et réduire ou déplacer la barre de lecture.</w:t>
      </w:r>
      <w:bookmarkEnd w:id="4"/>
    </w:p>
    <w:p w14:paraId="123CBB1D" w14:textId="77777777" w:rsidR="00B84BCE" w:rsidRPr="00177154" w:rsidRDefault="00B84BCE" w:rsidP="00B843CA">
      <w:pPr>
        <w:pStyle w:val="Heading1"/>
        <w:rPr>
          <w:rStyle w:val="normaltextrun"/>
          <w:rFonts w:cs="Calibri"/>
          <w:lang w:val="fr-CA"/>
        </w:rPr>
      </w:pPr>
      <w:bookmarkStart w:id="5" w:name="lt_pId027"/>
      <w:r w:rsidRPr="00177154">
        <w:rPr>
          <w:rStyle w:val="normaltextrun"/>
          <w:rFonts w:cs="Calibri"/>
          <w:lang w:val="fr-CA"/>
        </w:rPr>
        <w:t>Objectifs</w:t>
      </w:r>
    </w:p>
    <w:p w14:paraId="34001F6B" w14:textId="4A2A2128" w:rsidR="003E7380" w:rsidRPr="00177154" w:rsidRDefault="003E7380" w:rsidP="00E174E6">
      <w:pPr>
        <w:rPr>
          <w:lang w:val="fr-CA"/>
        </w:rPr>
      </w:pPr>
      <w:r w:rsidRPr="00177154">
        <w:rPr>
          <w:rStyle w:val="normaltextrun"/>
          <w:rFonts w:cs="Calibri"/>
          <w:lang w:val="fr-CA"/>
        </w:rPr>
        <w:t>Les objectifs d’apprentissage</w:t>
      </w:r>
      <w:bookmarkEnd w:id="5"/>
      <w:r w:rsidRPr="00177154">
        <w:rPr>
          <w:rStyle w:val="eop"/>
          <w:rFonts w:eastAsia="Calibri"/>
          <w:lang w:val="fr-CA"/>
        </w:rPr>
        <w:t xml:space="preserve"> </w:t>
      </w:r>
      <w:bookmarkStart w:id="6" w:name="lt_pId028"/>
      <w:r w:rsidRPr="00177154">
        <w:rPr>
          <w:lang w:val="fr-CA"/>
        </w:rPr>
        <w:t>de ce module sont les suivants :</w:t>
      </w:r>
      <w:bookmarkEnd w:id="6"/>
    </w:p>
    <w:p w14:paraId="03C21262" w14:textId="77777777" w:rsidR="003E7380" w:rsidRPr="00177154" w:rsidRDefault="003E7380" w:rsidP="00E30D4C">
      <w:pPr>
        <w:pStyle w:val="ListParagraph"/>
        <w:numPr>
          <w:ilvl w:val="0"/>
          <w:numId w:val="1"/>
        </w:numPr>
        <w:spacing w:before="240" w:after="0"/>
        <w:rPr>
          <w:lang w:val="fr-CA"/>
        </w:rPr>
      </w:pPr>
      <w:bookmarkStart w:id="7" w:name="lt_pId029"/>
      <w:r w:rsidRPr="00177154">
        <w:rPr>
          <w:lang w:val="fr-CA"/>
        </w:rPr>
        <w:t>Distinguer les préjugés individuels des préjugés systémiques</w:t>
      </w:r>
      <w:bookmarkEnd w:id="7"/>
      <w:r w:rsidRPr="00177154">
        <w:rPr>
          <w:lang w:val="fr-CA"/>
        </w:rPr>
        <w:t>.</w:t>
      </w:r>
    </w:p>
    <w:p w14:paraId="4747EA28" w14:textId="77777777" w:rsidR="003E7380" w:rsidRPr="00177154" w:rsidRDefault="003E7380" w:rsidP="00E30D4C">
      <w:pPr>
        <w:pStyle w:val="ListParagraph"/>
        <w:numPr>
          <w:ilvl w:val="0"/>
          <w:numId w:val="1"/>
        </w:numPr>
        <w:spacing w:before="240" w:after="0"/>
        <w:rPr>
          <w:lang w:val="fr-CA"/>
        </w:rPr>
      </w:pPr>
      <w:bookmarkStart w:id="8" w:name="lt_pId030"/>
      <w:r w:rsidRPr="00177154">
        <w:rPr>
          <w:lang w:val="fr-CA"/>
        </w:rPr>
        <w:t>Définir l’intersectionnalité et les préjugés</w:t>
      </w:r>
      <w:bookmarkEnd w:id="8"/>
      <w:r w:rsidRPr="00177154">
        <w:rPr>
          <w:lang w:val="fr-CA"/>
        </w:rPr>
        <w:t>.</w:t>
      </w:r>
    </w:p>
    <w:p w14:paraId="2CEECEFC" w14:textId="77777777" w:rsidR="003E7380" w:rsidRPr="00177154" w:rsidRDefault="003E7380" w:rsidP="00E30D4C">
      <w:pPr>
        <w:pStyle w:val="ListParagraph"/>
        <w:numPr>
          <w:ilvl w:val="0"/>
          <w:numId w:val="1"/>
        </w:numPr>
        <w:spacing w:before="240" w:after="0"/>
        <w:rPr>
          <w:szCs w:val="22"/>
          <w:lang w:val="fr-CA"/>
        </w:rPr>
      </w:pPr>
      <w:bookmarkStart w:id="9" w:name="lt_pId031"/>
      <w:r w:rsidRPr="00177154">
        <w:rPr>
          <w:lang w:val="fr-CA"/>
        </w:rPr>
        <w:t>Décrire comment les préjugés sont vécus par les groupes sous-représentés</w:t>
      </w:r>
      <w:bookmarkStart w:id="10" w:name="lt_pId032"/>
      <w:bookmarkEnd w:id="9"/>
      <w:r w:rsidRPr="00177154">
        <w:rPr>
          <w:lang w:val="fr-CA"/>
        </w:rPr>
        <w:t>.</w:t>
      </w:r>
    </w:p>
    <w:p w14:paraId="608753D7" w14:textId="77777777" w:rsidR="003E7380" w:rsidRPr="00177154" w:rsidRDefault="003E7380" w:rsidP="00E30D4C">
      <w:pPr>
        <w:pStyle w:val="ListParagraph"/>
        <w:numPr>
          <w:ilvl w:val="0"/>
          <w:numId w:val="1"/>
        </w:numPr>
        <w:spacing w:before="240" w:after="0"/>
        <w:rPr>
          <w:szCs w:val="22"/>
          <w:lang w:val="fr-CA"/>
        </w:rPr>
      </w:pPr>
      <w:r w:rsidRPr="00177154">
        <w:rPr>
          <w:lang w:val="fr-CA"/>
        </w:rPr>
        <w:lastRenderedPageBreak/>
        <w:t>Expliquer comment les préjugés peuvent influencer la recherche et la communauté scientifique</w:t>
      </w:r>
      <w:bookmarkEnd w:id="10"/>
      <w:r w:rsidRPr="00177154">
        <w:rPr>
          <w:lang w:val="fr-CA"/>
        </w:rPr>
        <w:t>.</w:t>
      </w:r>
    </w:p>
    <w:p w14:paraId="42A84515" w14:textId="0CCF4B9C" w:rsidR="003E7380" w:rsidRPr="00177154" w:rsidRDefault="0091577D" w:rsidP="00B84BCE">
      <w:pPr>
        <w:pStyle w:val="Heading1"/>
        <w:rPr>
          <w:rStyle w:val="Strong"/>
          <w:b/>
          <w:bCs/>
          <w:lang w:val="fr-CA"/>
        </w:rPr>
      </w:pPr>
      <w:r>
        <w:rPr>
          <w:rStyle w:val="Strong"/>
          <w:b/>
          <w:bCs/>
          <w:lang w:val="fr-CA"/>
        </w:rPr>
        <w:t>Un mot sur votre bien-être</w:t>
      </w:r>
    </w:p>
    <w:p w14:paraId="6DB4292C" w14:textId="2363A137" w:rsidR="003E7380" w:rsidRPr="00177154" w:rsidRDefault="00850117" w:rsidP="00E174E6">
      <w:pPr>
        <w:rPr>
          <w:rStyle w:val="normaltextrun"/>
          <w:rFonts w:cs="Calibri"/>
          <w:lang w:val="fr-CA"/>
        </w:rPr>
      </w:pPr>
      <w:bookmarkStart w:id="11" w:name="lt_pId035"/>
      <w:r w:rsidRPr="00850117">
        <w:rPr>
          <w:rStyle w:val="normaltextrun"/>
          <w:rFonts w:cs="Calibri"/>
          <w:lang w:val="fr-CA"/>
        </w:rPr>
        <w:t xml:space="preserve">Chaque personne </w:t>
      </w:r>
      <w:r w:rsidR="003E7380" w:rsidRPr="00177154">
        <w:rPr>
          <w:rStyle w:val="normaltextrun"/>
          <w:rFonts w:cs="Calibri"/>
          <w:lang w:val="fr-CA"/>
        </w:rPr>
        <w:t xml:space="preserve">interprète la notion de préjugés à sa façon, selon son </w:t>
      </w:r>
      <w:r w:rsidR="0091577D">
        <w:rPr>
          <w:rStyle w:val="normaltextrun"/>
          <w:rFonts w:cs="Calibri"/>
          <w:lang w:val="fr-CA"/>
        </w:rPr>
        <w:t xml:space="preserve">expérience </w:t>
      </w:r>
      <w:r w:rsidR="0019092F">
        <w:rPr>
          <w:rStyle w:val="normaltextrun"/>
          <w:rFonts w:cs="Calibri"/>
          <w:lang w:val="fr-CA"/>
        </w:rPr>
        <w:t>concrète</w:t>
      </w:r>
      <w:r w:rsidR="003E7380" w:rsidRPr="00177154">
        <w:rPr>
          <w:rStyle w:val="normaltextrun"/>
          <w:rFonts w:cs="Calibri"/>
          <w:lang w:val="fr-CA"/>
        </w:rPr>
        <w:t>.</w:t>
      </w:r>
      <w:bookmarkEnd w:id="11"/>
      <w:r w:rsidR="003E7380" w:rsidRPr="00177154">
        <w:rPr>
          <w:rStyle w:val="normaltextrun"/>
          <w:rFonts w:cs="Calibri"/>
          <w:lang w:val="fr-CA"/>
        </w:rPr>
        <w:t xml:space="preserve"> </w:t>
      </w:r>
      <w:bookmarkStart w:id="12" w:name="lt_pId036"/>
      <w:r w:rsidR="003E7380" w:rsidRPr="00177154">
        <w:rPr>
          <w:rStyle w:val="normaltextrun"/>
          <w:rFonts w:cs="Calibri"/>
          <w:lang w:val="fr-CA"/>
        </w:rPr>
        <w:t>Pour certaines personnes, le sujet des préjugés lors de l’évaluation par les pairs sera relativement nouveau.</w:t>
      </w:r>
      <w:bookmarkEnd w:id="12"/>
      <w:r w:rsidR="003E7380" w:rsidRPr="00177154">
        <w:rPr>
          <w:rStyle w:val="normaltextrun"/>
          <w:rFonts w:cs="Calibri"/>
          <w:lang w:val="fr-CA"/>
        </w:rPr>
        <w:t xml:space="preserve"> </w:t>
      </w:r>
      <w:bookmarkStart w:id="13" w:name="lt_pId037"/>
      <w:r w:rsidR="003E7380" w:rsidRPr="00177154">
        <w:rPr>
          <w:rStyle w:val="normaltextrun"/>
          <w:rFonts w:cs="Calibri"/>
          <w:lang w:val="fr-CA"/>
        </w:rPr>
        <w:t>Pour d’autres, les préjugés, les microagressions et la discrimination pourraient faire partie de leur quotidien.</w:t>
      </w:r>
      <w:bookmarkEnd w:id="13"/>
      <w:r w:rsidR="003E7380" w:rsidRPr="00177154">
        <w:rPr>
          <w:rStyle w:val="normaltextrun"/>
          <w:rFonts w:cs="Calibri"/>
          <w:lang w:val="fr-CA"/>
        </w:rPr>
        <w:t xml:space="preserve"> </w:t>
      </w:r>
      <w:bookmarkStart w:id="14" w:name="lt_pId038"/>
      <w:r w:rsidR="003E7380" w:rsidRPr="00177154">
        <w:rPr>
          <w:rStyle w:val="normaltextrun"/>
          <w:rFonts w:cs="Calibri"/>
          <w:lang w:val="fr-CA"/>
        </w:rPr>
        <w:t>Au cours des modules, prenez le temps d’évaluer votre état physique et mental alors que vous réagissez au contenu.</w:t>
      </w:r>
      <w:bookmarkStart w:id="15" w:name="lt_pId039"/>
      <w:bookmarkEnd w:id="14"/>
      <w:r w:rsidR="00B84BCE" w:rsidRPr="00177154">
        <w:rPr>
          <w:rStyle w:val="normaltextrun"/>
          <w:rFonts w:cs="Calibri"/>
          <w:lang w:val="fr-CA"/>
        </w:rPr>
        <w:t xml:space="preserve"> </w:t>
      </w:r>
      <w:r w:rsidR="003E7380" w:rsidRPr="00177154">
        <w:rPr>
          <w:rStyle w:val="normaltextrun"/>
          <w:rFonts w:cs="Calibri"/>
          <w:lang w:val="fr-CA"/>
        </w:rPr>
        <w:t xml:space="preserve">N’hésitez pas à faire une pause aussi souvent que nécessaire. </w:t>
      </w:r>
      <w:bookmarkStart w:id="16" w:name="lt_pId040"/>
      <w:bookmarkEnd w:id="15"/>
      <w:r w:rsidR="003E7380" w:rsidRPr="00177154">
        <w:rPr>
          <w:rStyle w:val="normaltextrun"/>
          <w:rFonts w:cs="Calibri"/>
          <w:lang w:val="fr-CA"/>
        </w:rPr>
        <w:t xml:space="preserve">L’enregistrement reprendra là où vous l’avez arrêté. </w:t>
      </w:r>
      <w:bookmarkStart w:id="17" w:name="lt_pId041"/>
      <w:bookmarkEnd w:id="16"/>
      <w:r w:rsidR="003E7380" w:rsidRPr="00177154">
        <w:rPr>
          <w:rStyle w:val="normaltextrun"/>
          <w:rFonts w:cs="Calibri"/>
          <w:lang w:val="fr-CA"/>
        </w:rPr>
        <w:t>Si le contenu vous ébranle au point où vous vous sentez incapable de terminer le module, accédez à du soutien en cliquant sur le bouton à l’écran.</w:t>
      </w:r>
      <w:bookmarkEnd w:id="17"/>
    </w:p>
    <w:bookmarkStart w:id="18" w:name="lt_pId042"/>
    <w:p w14:paraId="339C740C" w14:textId="22309CF1" w:rsidR="003E7380" w:rsidRPr="00177154" w:rsidRDefault="003E7380" w:rsidP="00E174E6">
      <w:pPr>
        <w:rPr>
          <w:rStyle w:val="Strong"/>
          <w:b w:val="0"/>
          <w:bCs w:val="0"/>
          <w:szCs w:val="22"/>
          <w:lang w:val="fr-CA"/>
        </w:rPr>
      </w:pPr>
      <w:r w:rsidRPr="00177154">
        <w:rPr>
          <w:lang w:val="fr-CA"/>
        </w:rPr>
        <w:fldChar w:fldCharType="begin"/>
      </w:r>
      <w:r w:rsidRPr="00177154">
        <w:rPr>
          <w:lang w:val="fr-CA"/>
        </w:rPr>
        <w:instrText>HYPERLINK "https://www.canada.ca/fr/sante-publique/services/services-sante-mentale/sante-mentale-obtenir-aide.html"</w:instrText>
      </w:r>
      <w:r w:rsidRPr="00177154">
        <w:rPr>
          <w:lang w:val="fr-CA"/>
        </w:rPr>
      </w:r>
      <w:r w:rsidRPr="00177154">
        <w:rPr>
          <w:lang w:val="fr-CA"/>
        </w:rPr>
        <w:fldChar w:fldCharType="separate"/>
      </w:r>
      <w:r w:rsidRPr="00177154">
        <w:rPr>
          <w:rStyle w:val="Hyperlink"/>
          <w:lang w:val="fr-CA"/>
        </w:rPr>
        <w:t>Soutien en santé mentale — Canada.ca</w:t>
      </w:r>
      <w:r w:rsidRPr="00177154">
        <w:rPr>
          <w:lang w:val="fr-CA"/>
        </w:rPr>
        <w:fldChar w:fldCharType="end"/>
      </w:r>
      <w:bookmarkEnd w:id="18"/>
    </w:p>
    <w:p w14:paraId="226FA787" w14:textId="77777777" w:rsidR="00B84BCE" w:rsidRPr="00177154" w:rsidRDefault="00B84BCE" w:rsidP="00B84BCE">
      <w:pPr>
        <w:pStyle w:val="Heading1"/>
        <w:rPr>
          <w:rStyle w:val="Strong"/>
          <w:b/>
          <w:bCs/>
          <w:lang w:val="fr-CA"/>
        </w:rPr>
      </w:pPr>
      <w:bookmarkStart w:id="19" w:name="lt_pId045"/>
      <w:r w:rsidRPr="00177154">
        <w:rPr>
          <w:rStyle w:val="Strong"/>
          <w:b/>
          <w:bCs/>
          <w:lang w:val="fr-CA"/>
        </w:rPr>
        <w:t>Objectif 1</w:t>
      </w:r>
    </w:p>
    <w:bookmarkStart w:id="20" w:name="lt_pId044"/>
    <w:p w14:paraId="6C4A3A66" w14:textId="77777777" w:rsidR="006F1222" w:rsidRPr="00177154" w:rsidRDefault="006F1222" w:rsidP="006F1222">
      <w:pPr>
        <w:rPr>
          <w:rStyle w:val="Strong"/>
          <w:b w:val="0"/>
          <w:bCs w:val="0"/>
          <w:lang w:val="fr-CA"/>
        </w:rPr>
      </w:pPr>
      <w:r w:rsidRPr="00177154">
        <w:rPr>
          <w:rStyle w:val="Strong"/>
          <w:b w:val="0"/>
          <w:bCs w:val="0"/>
          <w:lang w:val="fr-CA"/>
        </w:rPr>
        <w:fldChar w:fldCharType="begin"/>
      </w:r>
      <w:r w:rsidRPr="00177154">
        <w:rPr>
          <w:rStyle w:val="Strong"/>
          <w:b w:val="0"/>
          <w:bCs w:val="0"/>
          <w:lang w:val="fr-CA"/>
        </w:rPr>
        <w:instrText>HYPERLINK "https://cihr-irsc.gc.ca/f/54486.html" \l "a1"</w:instrText>
      </w:r>
      <w:r w:rsidRPr="00177154">
        <w:rPr>
          <w:rStyle w:val="Strong"/>
          <w:b w:val="0"/>
          <w:bCs w:val="0"/>
          <w:lang w:val="fr-CA"/>
        </w:rPr>
      </w:r>
      <w:r w:rsidRPr="00177154">
        <w:rPr>
          <w:rStyle w:val="Strong"/>
          <w:b w:val="0"/>
          <w:bCs w:val="0"/>
          <w:lang w:val="fr-CA"/>
        </w:rPr>
        <w:fldChar w:fldCharType="separate"/>
      </w:r>
      <w:r w:rsidRPr="00177154">
        <w:rPr>
          <w:rStyle w:val="Hyperlink"/>
          <w:lang w:val="fr-CA"/>
        </w:rPr>
        <w:t>Références</w:t>
      </w:r>
      <w:bookmarkEnd w:id="20"/>
      <w:r w:rsidRPr="00177154">
        <w:rPr>
          <w:rStyle w:val="Strong"/>
          <w:b w:val="0"/>
          <w:bCs w:val="0"/>
          <w:lang w:val="fr-CA"/>
        </w:rPr>
        <w:fldChar w:fldCharType="end"/>
      </w:r>
    </w:p>
    <w:p w14:paraId="2D63B0C6" w14:textId="095524C1" w:rsidR="003E7380" w:rsidRPr="00177154" w:rsidRDefault="003E7380" w:rsidP="00E174E6">
      <w:pPr>
        <w:rPr>
          <w:b/>
          <w:bCs/>
          <w:szCs w:val="22"/>
          <w:lang w:val="fr-CA"/>
        </w:rPr>
      </w:pPr>
      <w:r w:rsidRPr="00177154">
        <w:rPr>
          <w:rStyle w:val="Strong"/>
          <w:b w:val="0"/>
          <w:bCs w:val="0"/>
          <w:lang w:val="fr-CA"/>
        </w:rPr>
        <w:t>Qu’est-ce qu’un préjugé?</w:t>
      </w:r>
      <w:bookmarkEnd w:id="19"/>
    </w:p>
    <w:p w14:paraId="64815EB0" w14:textId="562147EF" w:rsidR="003E7380" w:rsidRPr="00177154" w:rsidRDefault="003E7380" w:rsidP="00B84BCE">
      <w:pPr>
        <w:pStyle w:val="Heading1"/>
        <w:rPr>
          <w:rStyle w:val="eop"/>
          <w:rFonts w:eastAsia="Calibri"/>
          <w:lang w:val="fr-CA"/>
        </w:rPr>
      </w:pPr>
      <w:bookmarkStart w:id="21" w:name="lt_pId047"/>
      <w:r w:rsidRPr="00177154">
        <w:rPr>
          <w:rStyle w:val="normaltextrun"/>
          <w:rFonts w:cs="Calibri"/>
          <w:lang w:val="fr-CA"/>
        </w:rPr>
        <w:t>Qu’est-ce qu’un préjugé</w:t>
      </w:r>
      <w:bookmarkEnd w:id="21"/>
      <w:r w:rsidRPr="00177154">
        <w:rPr>
          <w:rStyle w:val="eop"/>
          <w:rFonts w:eastAsia="Calibri"/>
          <w:lang w:val="fr-CA"/>
        </w:rPr>
        <w:t xml:space="preserve"> </w:t>
      </w:r>
      <w:r w:rsidR="00B84BCE" w:rsidRPr="00177154">
        <w:rPr>
          <w:rStyle w:val="eop"/>
          <w:rFonts w:eastAsia="Calibri"/>
          <w:lang w:val="fr-CA"/>
        </w:rPr>
        <w:t>1</w:t>
      </w:r>
    </w:p>
    <w:p w14:paraId="5DB00F39" w14:textId="2BDE4A3C" w:rsidR="003E7380" w:rsidRPr="00177154" w:rsidRDefault="003E7380" w:rsidP="00E174E6">
      <w:pPr>
        <w:rPr>
          <w:szCs w:val="22"/>
          <w:lang w:val="fr-CA"/>
        </w:rPr>
      </w:pPr>
      <w:bookmarkStart w:id="22" w:name="lt_pId048"/>
      <w:r w:rsidRPr="00177154">
        <w:rPr>
          <w:lang w:val="fr-CA"/>
        </w:rPr>
        <w:t>Un préjugé est un «</w:t>
      </w:r>
      <w:r w:rsidRPr="00177154">
        <w:rPr>
          <w:rFonts w:ascii="Arial" w:hAnsi="Arial" w:cs="Arial"/>
          <w:lang w:val="fr-CA"/>
        </w:rPr>
        <w:t> </w:t>
      </w:r>
      <w:r w:rsidRPr="00177154">
        <w:rPr>
          <w:lang w:val="fr-CA"/>
        </w:rPr>
        <w:t>raccourci mental</w:t>
      </w:r>
      <w:r w:rsidRPr="00177154">
        <w:rPr>
          <w:rFonts w:ascii="Arial" w:hAnsi="Arial" w:cs="Arial"/>
          <w:lang w:val="fr-CA"/>
        </w:rPr>
        <w:t> </w:t>
      </w:r>
      <w:r w:rsidRPr="00177154">
        <w:rPr>
          <w:lang w:val="fr-CA"/>
        </w:rPr>
        <w:t>» découlant des histoires, des images et des valeurs qui teintent notre quotidien.</w:t>
      </w:r>
      <w:bookmarkEnd w:id="22"/>
      <w:r w:rsidRPr="00177154">
        <w:rPr>
          <w:lang w:val="fr-CA"/>
        </w:rPr>
        <w:t xml:space="preserve"> </w:t>
      </w:r>
      <w:bookmarkStart w:id="23" w:name="lt_pId049"/>
      <w:r w:rsidRPr="00177154">
        <w:rPr>
          <w:lang w:val="fr-CA"/>
        </w:rPr>
        <w:t xml:space="preserve">Il façonne notre perception du monde et peut conférer des avantages injustes aux personnes faisant partie </w:t>
      </w:r>
      <w:r w:rsidR="000A6CBD" w:rsidRPr="00177154">
        <w:rPr>
          <w:lang w:val="fr-CA"/>
        </w:rPr>
        <w:t xml:space="preserve">des </w:t>
      </w:r>
      <w:hyperlink r:id="rId13" w:anchor="a14" w:history="1">
        <w:r w:rsidR="000A6CBD" w:rsidRPr="00177154">
          <w:rPr>
            <w:rStyle w:val="Hyperlink"/>
            <w:lang w:val="fr-CA"/>
          </w:rPr>
          <w:t>groupes dominants</w:t>
        </w:r>
      </w:hyperlink>
      <w:r w:rsidRPr="00177154">
        <w:rPr>
          <w:lang w:val="fr-CA"/>
        </w:rPr>
        <w:t>.</w:t>
      </w:r>
      <w:bookmarkEnd w:id="23"/>
      <w:r w:rsidRPr="00177154">
        <w:rPr>
          <w:lang w:val="fr-CA"/>
        </w:rPr>
        <w:t xml:space="preserve"> </w:t>
      </w:r>
    </w:p>
    <w:p w14:paraId="3356D6F1" w14:textId="08138EC6" w:rsidR="00B84BCE" w:rsidRPr="00177154" w:rsidRDefault="00B84BCE" w:rsidP="00B84BCE">
      <w:pPr>
        <w:pStyle w:val="Heading1"/>
        <w:rPr>
          <w:rStyle w:val="eop"/>
          <w:rFonts w:eastAsia="Calibri"/>
          <w:lang w:val="fr-CA"/>
        </w:rPr>
      </w:pPr>
      <w:bookmarkStart w:id="24" w:name="lt_pId052"/>
      <w:r w:rsidRPr="00177154">
        <w:rPr>
          <w:rStyle w:val="normaltextrun"/>
          <w:rFonts w:cs="Calibri"/>
          <w:lang w:val="fr-CA"/>
        </w:rPr>
        <w:t>Qu’est-ce qu’un préjugé</w:t>
      </w:r>
      <w:r w:rsidRPr="00177154">
        <w:rPr>
          <w:rStyle w:val="eop"/>
          <w:rFonts w:eastAsia="Calibri"/>
          <w:lang w:val="fr-CA"/>
        </w:rPr>
        <w:t xml:space="preserve"> 2</w:t>
      </w:r>
    </w:p>
    <w:p w14:paraId="428968E9" w14:textId="21B3775B" w:rsidR="003E7380" w:rsidRPr="00177154" w:rsidRDefault="003E7380" w:rsidP="00E174E6">
      <w:pPr>
        <w:rPr>
          <w:rFonts w:ascii="Segoe UI" w:hAnsi="Segoe UI" w:cs="Segoe UI"/>
          <w:szCs w:val="22"/>
          <w:lang w:val="fr-CA"/>
        </w:rPr>
      </w:pPr>
      <w:r w:rsidRPr="00177154">
        <w:rPr>
          <w:lang w:val="fr-CA"/>
        </w:rPr>
        <w:t xml:space="preserve">Vous vous sentez à l’aise auprès de gens qui vous ressemblent? </w:t>
      </w:r>
      <w:bookmarkStart w:id="25" w:name="lt_pId053"/>
      <w:bookmarkEnd w:id="24"/>
      <w:r w:rsidRPr="00177154">
        <w:rPr>
          <w:lang w:val="fr-CA"/>
        </w:rPr>
        <w:t>Avez-vous déjà remarqué à quel point le fait de voir certains groupes dans les médias influence la façon dont nous les traitons, que nous leur ressemblions ou non?</w:t>
      </w:r>
      <w:bookmarkEnd w:id="25"/>
      <w:r w:rsidRPr="00177154">
        <w:rPr>
          <w:lang w:val="fr-CA"/>
        </w:rPr>
        <w:t xml:space="preserve"> </w:t>
      </w:r>
      <w:bookmarkStart w:id="26" w:name="lt_pId054"/>
      <w:r w:rsidRPr="00177154">
        <w:rPr>
          <w:lang w:val="fr-CA"/>
        </w:rPr>
        <w:t>C’est ce qu’on appelle les préjugés, et ces préjugés peuvent être avantageux ou désavantageux pour les autres.</w:t>
      </w:r>
      <w:bookmarkEnd w:id="26"/>
      <w:r w:rsidRPr="00177154">
        <w:rPr>
          <w:lang w:val="fr-CA"/>
        </w:rPr>
        <w:t xml:space="preserve"> </w:t>
      </w:r>
    </w:p>
    <w:p w14:paraId="76720CC9" w14:textId="44EC2C96" w:rsidR="006E2D20" w:rsidRPr="00177154" w:rsidRDefault="006E2D20" w:rsidP="006E2D20">
      <w:pPr>
        <w:pStyle w:val="Heading1"/>
        <w:rPr>
          <w:rStyle w:val="eop"/>
          <w:rFonts w:eastAsia="Calibri"/>
          <w:lang w:val="fr-CA"/>
        </w:rPr>
      </w:pPr>
      <w:bookmarkStart w:id="27" w:name="lt_pId057"/>
      <w:r w:rsidRPr="00177154">
        <w:rPr>
          <w:rStyle w:val="normaltextrun"/>
          <w:rFonts w:cs="Calibri"/>
          <w:lang w:val="fr-CA"/>
        </w:rPr>
        <w:t>Qu’est-ce qu’un préjugé</w:t>
      </w:r>
      <w:r w:rsidRPr="00177154">
        <w:rPr>
          <w:rStyle w:val="eop"/>
          <w:rFonts w:eastAsia="Calibri"/>
          <w:lang w:val="fr-CA"/>
        </w:rPr>
        <w:t xml:space="preserve"> 3</w:t>
      </w:r>
    </w:p>
    <w:p w14:paraId="1203D1F4" w14:textId="1C39081B" w:rsidR="003E7380" w:rsidRPr="00177154" w:rsidRDefault="003E7380" w:rsidP="00E174E6">
      <w:pPr>
        <w:rPr>
          <w:lang w:val="fr-CA"/>
        </w:rPr>
      </w:pPr>
      <w:r w:rsidRPr="00177154">
        <w:rPr>
          <w:lang w:val="fr-CA"/>
        </w:rPr>
        <w:lastRenderedPageBreak/>
        <w:t xml:space="preserve">Le fait d’avoir un préjugé peut être hors de notre contrôle, mais il importe de ne pas laisser le préjugé influencer nos gestes, par exemple en traitant quelqu’un différemment des autres, ce qui constitue de </w:t>
      </w:r>
      <w:bookmarkStart w:id="28" w:name="lt_pId058"/>
      <w:bookmarkEnd w:id="27"/>
      <w:r w:rsidR="003A6193" w:rsidRPr="00177154">
        <w:rPr>
          <w:lang w:val="fr-CA"/>
        </w:rPr>
        <w:t xml:space="preserve">la </w:t>
      </w:r>
      <w:hyperlink r:id="rId14" w:anchor="a7" w:history="1">
        <w:r w:rsidR="003A6193" w:rsidRPr="002026B9">
          <w:rPr>
            <w:rStyle w:val="Hyperlink"/>
            <w:lang w:val="fr-CA"/>
          </w:rPr>
          <w:t>discrimination</w:t>
        </w:r>
      </w:hyperlink>
      <w:r w:rsidR="003A6193" w:rsidRPr="00177154">
        <w:rPr>
          <w:lang w:val="fr-CA"/>
        </w:rPr>
        <w:t xml:space="preserve">. </w:t>
      </w:r>
      <w:r w:rsidRPr="00177154">
        <w:rPr>
          <w:lang w:val="fr-CA"/>
        </w:rPr>
        <w:t xml:space="preserve">Il existe deux types de préjugés : les préjugés personnels que nous avons et les préjugés plus généraux et systémiques intégrés dans la société. </w:t>
      </w:r>
      <w:bookmarkStart w:id="29" w:name="lt_pId059"/>
      <w:bookmarkEnd w:id="28"/>
      <w:r w:rsidRPr="00177154">
        <w:rPr>
          <w:rStyle w:val="normaltextrun"/>
          <w:rFonts w:cs="Calibri"/>
          <w:lang w:val="fr-CA"/>
        </w:rPr>
        <w:t>De plus, nos préjugés personnels peuvent être conscients ou inconscients.</w:t>
      </w:r>
      <w:bookmarkStart w:id="30" w:name="lt_pId060"/>
      <w:bookmarkEnd w:id="29"/>
      <w:r w:rsidR="006E2D20" w:rsidRPr="00177154">
        <w:rPr>
          <w:rStyle w:val="normaltextrun"/>
          <w:rFonts w:cs="Calibri"/>
          <w:lang w:val="fr-CA"/>
        </w:rPr>
        <w:t xml:space="preserve"> </w:t>
      </w:r>
      <w:r w:rsidRPr="00177154">
        <w:rPr>
          <w:lang w:val="fr-CA"/>
        </w:rPr>
        <w:t>Plongeons-nous dans le vif du sujet et explorons comment les préjugés nous influencent à ces différents niveaux.</w:t>
      </w:r>
      <w:bookmarkEnd w:id="30"/>
      <w:r w:rsidRPr="00177154">
        <w:rPr>
          <w:rStyle w:val="eop"/>
          <w:rFonts w:eastAsia="Calibri"/>
          <w:lang w:val="fr-CA"/>
        </w:rPr>
        <w:t xml:space="preserve"> </w:t>
      </w:r>
    </w:p>
    <w:p w14:paraId="379A2979" w14:textId="56DD4729" w:rsidR="003E7380" w:rsidRPr="00177154" w:rsidRDefault="003E7380" w:rsidP="006E2D20">
      <w:pPr>
        <w:pStyle w:val="Heading1"/>
        <w:rPr>
          <w:lang w:val="fr-CA"/>
        </w:rPr>
      </w:pPr>
      <w:bookmarkStart w:id="31" w:name="lt_pId062"/>
      <w:r w:rsidRPr="00177154">
        <w:rPr>
          <w:rStyle w:val="normaltextrun"/>
          <w:lang w:val="fr-CA"/>
        </w:rPr>
        <w:t xml:space="preserve">Les préjugés conscients </w:t>
      </w:r>
      <w:bookmarkEnd w:id="31"/>
      <w:r w:rsidR="006E2D20" w:rsidRPr="00177154">
        <w:rPr>
          <w:rStyle w:val="normaltextrun"/>
          <w:lang w:val="fr-CA"/>
        </w:rPr>
        <w:t>1</w:t>
      </w:r>
    </w:p>
    <w:p w14:paraId="1F7C1295" w14:textId="410E5133" w:rsidR="003E7380" w:rsidRPr="00177154" w:rsidRDefault="003E7380" w:rsidP="00E174E6">
      <w:pPr>
        <w:rPr>
          <w:rStyle w:val="normaltextrun"/>
          <w:szCs w:val="22"/>
          <w:lang w:val="fr-CA"/>
        </w:rPr>
      </w:pPr>
      <w:bookmarkStart w:id="32" w:name="lt_pId063"/>
      <w:r w:rsidRPr="00177154">
        <w:rPr>
          <w:lang w:val="fr-CA"/>
        </w:rPr>
        <w:t xml:space="preserve">Imaginez que vous évaluez la candidature d’un chercheur renommé. </w:t>
      </w:r>
      <w:bookmarkStart w:id="33" w:name="lt_pId064"/>
      <w:bookmarkEnd w:id="32"/>
      <w:r w:rsidRPr="00177154">
        <w:rPr>
          <w:lang w:val="fr-CA"/>
        </w:rPr>
        <w:t xml:space="preserve">Vous êtes enthousiaste, vous vous attendez à un dossier de qualité et vous êtes enclin à lui accorder le bénéfice du doute, avant même de l’avoir lu. </w:t>
      </w:r>
      <w:bookmarkStart w:id="34" w:name="lt_pId065"/>
      <w:bookmarkEnd w:id="33"/>
      <w:r w:rsidRPr="00177154">
        <w:rPr>
          <w:lang w:val="fr-CA"/>
        </w:rPr>
        <w:t xml:space="preserve">Ce biais est conscient; vous êtes conscient de votre prédisposition positive due à la réputation du candidat. </w:t>
      </w:r>
      <w:bookmarkStart w:id="35" w:name="lt_pId066"/>
      <w:bookmarkEnd w:id="34"/>
      <w:r w:rsidRPr="00177154">
        <w:rPr>
          <w:lang w:val="fr-CA"/>
        </w:rPr>
        <w:t>Cependant, ce biais pourrait vous amener à négliger les défauts de la proposition.</w:t>
      </w:r>
      <w:bookmarkEnd w:id="35"/>
    </w:p>
    <w:p w14:paraId="75E1AC80" w14:textId="2C2AE598" w:rsidR="003E7380" w:rsidRPr="00177154" w:rsidRDefault="003E7380" w:rsidP="006E2D20">
      <w:pPr>
        <w:pStyle w:val="Heading1"/>
        <w:rPr>
          <w:lang w:val="fr-CA"/>
        </w:rPr>
      </w:pPr>
      <w:bookmarkStart w:id="36" w:name="lt_pId068"/>
      <w:r w:rsidRPr="00177154">
        <w:rPr>
          <w:rStyle w:val="normaltextrun"/>
          <w:lang w:val="fr-CA"/>
        </w:rPr>
        <w:t>Les préjugés conscients</w:t>
      </w:r>
      <w:bookmarkEnd w:id="36"/>
      <w:r w:rsidRPr="00177154">
        <w:rPr>
          <w:rStyle w:val="normaltextrun"/>
          <w:lang w:val="fr-CA"/>
        </w:rPr>
        <w:t xml:space="preserve"> </w:t>
      </w:r>
      <w:r w:rsidR="006E2D20" w:rsidRPr="00177154">
        <w:rPr>
          <w:rStyle w:val="normaltextrun"/>
          <w:lang w:val="fr-CA"/>
        </w:rPr>
        <w:t>2</w:t>
      </w:r>
    </w:p>
    <w:p w14:paraId="3AD2CD66" w14:textId="61E70EE7" w:rsidR="003E7380" w:rsidRPr="00177154" w:rsidRDefault="003E7380" w:rsidP="00E174E6">
      <w:pPr>
        <w:rPr>
          <w:szCs w:val="22"/>
          <w:lang w:val="fr-CA"/>
        </w:rPr>
      </w:pPr>
      <w:bookmarkStart w:id="37" w:name="lt_pId069"/>
      <w:r w:rsidRPr="00177154">
        <w:rPr>
          <w:lang w:val="fr-CA"/>
        </w:rPr>
        <w:t xml:space="preserve">Le biais conscient fait référence à notre conscience explicite d’attitudes, de comportements ou d’hypothèses favorables ou défavorables. </w:t>
      </w:r>
      <w:bookmarkStart w:id="38" w:name="lt_pId070"/>
      <w:bookmarkEnd w:id="37"/>
      <w:r w:rsidRPr="00177154">
        <w:rPr>
          <w:lang w:val="fr-CA"/>
        </w:rPr>
        <w:t xml:space="preserve">Heureusement, comme nous reconnaissons ces biais, nous pouvons travailler activement à les atténuer. </w:t>
      </w:r>
      <w:bookmarkStart w:id="39" w:name="lt_pId071"/>
      <w:bookmarkEnd w:id="38"/>
      <w:r w:rsidRPr="00177154">
        <w:rPr>
          <w:lang w:val="fr-CA"/>
        </w:rPr>
        <w:t>En reconnaissant nos prédispositions, nous pouvons nous efforcer d’être équitables et impartiaux dans nos évaluations, en veillant à ce que toutes les propositions soient évaluées de manière approfondie.</w:t>
      </w:r>
      <w:bookmarkEnd w:id="39"/>
    </w:p>
    <w:p w14:paraId="441E845E" w14:textId="4CA66D23" w:rsidR="003E7380" w:rsidRPr="00177154" w:rsidRDefault="003E7380" w:rsidP="006E2D20">
      <w:pPr>
        <w:pStyle w:val="Heading1"/>
        <w:rPr>
          <w:rStyle w:val="eop"/>
          <w:lang w:val="fr-CA"/>
        </w:rPr>
      </w:pPr>
      <w:bookmarkStart w:id="40" w:name="lt_pId073"/>
      <w:r w:rsidRPr="00177154">
        <w:rPr>
          <w:rStyle w:val="normaltextrun"/>
          <w:lang w:val="fr-CA"/>
        </w:rPr>
        <w:t xml:space="preserve">Les préjugés inconscients </w:t>
      </w:r>
      <w:bookmarkEnd w:id="40"/>
      <w:r w:rsidR="006E2D20" w:rsidRPr="00177154">
        <w:rPr>
          <w:rStyle w:val="normaltextrun"/>
          <w:lang w:val="fr-CA"/>
        </w:rPr>
        <w:t>1</w:t>
      </w:r>
    </w:p>
    <w:p w14:paraId="71722301" w14:textId="41CD1071" w:rsidR="003E7380" w:rsidRPr="00177154" w:rsidRDefault="000249C8" w:rsidP="00E174E6">
      <w:pPr>
        <w:rPr>
          <w:rStyle w:val="normaltextrun"/>
          <w:rFonts w:ascii="Calibri" w:hAnsi="Calibri" w:cs="Calibri"/>
          <w:b/>
          <w:bCs/>
          <w:szCs w:val="22"/>
          <w:lang w:val="fr-CA"/>
        </w:rPr>
      </w:pPr>
      <w:bookmarkStart w:id="41" w:name="lt_pId074"/>
      <w:r w:rsidRPr="000249C8">
        <w:rPr>
          <w:lang w:val="fr-CA"/>
        </w:rPr>
        <w:t>Imaginez qu’on vous demande d’évaluer des propositions de recherche</w:t>
      </w:r>
      <w:r w:rsidR="003E7380" w:rsidRPr="00177154">
        <w:rPr>
          <w:lang w:val="fr-CA"/>
        </w:rPr>
        <w:t xml:space="preserve">. </w:t>
      </w:r>
      <w:bookmarkStart w:id="42" w:name="lt_pId075"/>
      <w:bookmarkEnd w:id="41"/>
      <w:r w:rsidR="003E7380" w:rsidRPr="00177154">
        <w:rPr>
          <w:lang w:val="fr-CA"/>
        </w:rPr>
        <w:t xml:space="preserve">En lisant une proposition, </w:t>
      </w:r>
      <w:r w:rsidR="00005B68" w:rsidRPr="00177154">
        <w:rPr>
          <w:lang w:val="fr-CA"/>
        </w:rPr>
        <w:t xml:space="preserve">vous pourriez </w:t>
      </w:r>
      <w:hyperlink r:id="rId15" w:anchor="a35" w:history="1">
        <w:r w:rsidR="00005B68" w:rsidRPr="00177154">
          <w:rPr>
            <w:rStyle w:val="Hyperlink"/>
            <w:lang w:val="fr-CA"/>
          </w:rPr>
          <w:t>inconsciemment privilégier</w:t>
        </w:r>
      </w:hyperlink>
      <w:r w:rsidR="00005B68" w:rsidRPr="00177154">
        <w:rPr>
          <w:lang w:val="fr-CA"/>
        </w:rPr>
        <w:t xml:space="preserve"> les </w:t>
      </w:r>
      <w:r w:rsidR="003E7380" w:rsidRPr="00177154">
        <w:rPr>
          <w:lang w:val="fr-CA"/>
        </w:rPr>
        <w:t xml:space="preserve">idées ou les méthodologies qui correspondent à votre propre parcours ou expérience. </w:t>
      </w:r>
      <w:bookmarkEnd w:id="42"/>
    </w:p>
    <w:p w14:paraId="42B5CF68" w14:textId="4C09F0B8" w:rsidR="003E7380" w:rsidRPr="00177154" w:rsidRDefault="003E7380" w:rsidP="006E2D20">
      <w:pPr>
        <w:pStyle w:val="Heading1"/>
        <w:rPr>
          <w:rStyle w:val="eop"/>
          <w:lang w:val="fr-CA"/>
        </w:rPr>
      </w:pPr>
      <w:bookmarkStart w:id="43" w:name="lt_pId077"/>
      <w:r w:rsidRPr="00177154">
        <w:rPr>
          <w:rStyle w:val="normaltextrun"/>
          <w:lang w:val="fr-CA"/>
        </w:rPr>
        <w:t>Les préjugés inconscients</w:t>
      </w:r>
      <w:bookmarkEnd w:id="43"/>
      <w:r w:rsidRPr="00177154">
        <w:rPr>
          <w:rStyle w:val="normaltextrun"/>
          <w:lang w:val="fr-CA"/>
        </w:rPr>
        <w:t xml:space="preserve"> </w:t>
      </w:r>
      <w:r w:rsidR="006E2D20" w:rsidRPr="00177154">
        <w:rPr>
          <w:rStyle w:val="normaltextrun"/>
          <w:lang w:val="fr-CA"/>
        </w:rPr>
        <w:t>2</w:t>
      </w:r>
    </w:p>
    <w:p w14:paraId="776D28BD" w14:textId="00F5D145" w:rsidR="003E7380" w:rsidRPr="00177154" w:rsidRDefault="003E7380" w:rsidP="00E174E6">
      <w:pPr>
        <w:rPr>
          <w:szCs w:val="22"/>
          <w:lang w:val="fr-CA"/>
        </w:rPr>
      </w:pPr>
      <w:bookmarkStart w:id="44" w:name="lt_pId078"/>
      <w:r w:rsidRPr="00177154">
        <w:rPr>
          <w:lang w:val="fr-CA"/>
        </w:rPr>
        <w:t>Par exemple, si la proposition émane d’un établissement prestigieux ou est rédigée par une personne avec laquelle vous partagez des similitudes (</w:t>
      </w:r>
      <w:r w:rsidR="006037BC" w:rsidRPr="00177154">
        <w:rPr>
          <w:lang w:val="fr-CA"/>
        </w:rPr>
        <w:t>comme le</w:t>
      </w:r>
      <w:r w:rsidR="00E93DC1">
        <w:rPr>
          <w:lang w:val="fr-CA"/>
        </w:rPr>
        <w:t xml:space="preserve"> </w:t>
      </w:r>
      <w:hyperlink r:id="rId16" w:anchor="a13" w:history="1">
        <w:r w:rsidR="00E93DC1" w:rsidRPr="00E93DC1">
          <w:rPr>
            <w:rStyle w:val="Hyperlink"/>
            <w:lang w:val="fr-CA"/>
          </w:rPr>
          <w:t>genre</w:t>
        </w:r>
      </w:hyperlink>
      <w:r w:rsidR="006037BC" w:rsidRPr="00177154">
        <w:rPr>
          <w:lang w:val="fr-CA"/>
        </w:rPr>
        <w:t xml:space="preserve">, </w:t>
      </w:r>
      <w:r w:rsidRPr="00177154">
        <w:rPr>
          <w:lang w:val="fr-CA"/>
        </w:rPr>
        <w:t xml:space="preserve">l’origine ethnique ou la discipline), vous pourriez inconsciemment lui accorder une considération plus favorable. </w:t>
      </w:r>
      <w:bookmarkStart w:id="45" w:name="lt_pId079"/>
      <w:bookmarkEnd w:id="44"/>
      <w:r w:rsidRPr="00177154">
        <w:rPr>
          <w:lang w:val="fr-CA"/>
        </w:rPr>
        <w:t xml:space="preserve">À l’inverse, si la proposition émane d’un établissement moins connu ou d’une personne à laquelle vous ne vous identifiez pas, vous </w:t>
      </w:r>
      <w:r w:rsidRPr="00177154">
        <w:rPr>
          <w:lang w:val="fr-CA"/>
        </w:rPr>
        <w:lastRenderedPageBreak/>
        <w:t xml:space="preserve">pourriez involontairement sous-estimer son travail. </w:t>
      </w:r>
      <w:bookmarkStart w:id="46" w:name="lt_pId080"/>
      <w:bookmarkEnd w:id="45"/>
      <w:r w:rsidRPr="00177154">
        <w:rPr>
          <w:lang w:val="fr-CA"/>
        </w:rPr>
        <w:t>Ce biais peut conduire à des évaluations injustes, à négliger des idées innovantes ou des chercheurs talentueux simplement parce qu’ils ne correspondent pas à vos idées préconçues de l’excellence.</w:t>
      </w:r>
      <w:bookmarkEnd w:id="46"/>
    </w:p>
    <w:p w14:paraId="31C0D9AA" w14:textId="1C022549" w:rsidR="003E7380" w:rsidRPr="00177154" w:rsidRDefault="003E7380" w:rsidP="006E2D20">
      <w:pPr>
        <w:pStyle w:val="Heading1"/>
        <w:rPr>
          <w:rStyle w:val="eop"/>
          <w:lang w:val="fr-CA"/>
        </w:rPr>
      </w:pPr>
      <w:bookmarkStart w:id="47" w:name="lt_pId082"/>
      <w:r w:rsidRPr="00177154">
        <w:rPr>
          <w:rStyle w:val="normaltextrun"/>
          <w:lang w:val="fr-CA"/>
        </w:rPr>
        <w:t xml:space="preserve">Les préjugés inconscients </w:t>
      </w:r>
      <w:bookmarkEnd w:id="47"/>
      <w:r w:rsidR="006E2D20" w:rsidRPr="00177154">
        <w:rPr>
          <w:rStyle w:val="normaltextrun"/>
          <w:lang w:val="fr-CA"/>
        </w:rPr>
        <w:t>3</w:t>
      </w:r>
    </w:p>
    <w:p w14:paraId="7396908F" w14:textId="6837894E" w:rsidR="003E7380" w:rsidRPr="00177154" w:rsidRDefault="003E7380" w:rsidP="00E174E6">
      <w:pPr>
        <w:rPr>
          <w:rStyle w:val="normaltextrun"/>
          <w:szCs w:val="22"/>
          <w:lang w:val="fr-CA"/>
        </w:rPr>
      </w:pPr>
      <w:bookmarkStart w:id="48" w:name="lt_pId083"/>
      <w:r w:rsidRPr="00177154">
        <w:rPr>
          <w:lang w:val="fr-CA"/>
        </w:rPr>
        <w:t xml:space="preserve">Dans le processus d’évaluation par les pairs dans le milieu </w:t>
      </w:r>
      <w:r w:rsidR="006543A0">
        <w:rPr>
          <w:lang w:val="fr-CA"/>
        </w:rPr>
        <w:t>de recherche</w:t>
      </w:r>
      <w:r w:rsidRPr="00177154">
        <w:rPr>
          <w:lang w:val="fr-CA"/>
        </w:rPr>
        <w:t xml:space="preserve">, les </w:t>
      </w:r>
      <w:hyperlink r:id="rId17" w:anchor="a35" w:history="1">
        <w:r w:rsidRPr="0022668D">
          <w:rPr>
            <w:rStyle w:val="Hyperlink"/>
            <w:lang w:val="fr-CA"/>
          </w:rPr>
          <w:t>préjugés inconscients</w:t>
        </w:r>
      </w:hyperlink>
      <w:r w:rsidRPr="00177154">
        <w:rPr>
          <w:lang w:val="fr-CA"/>
        </w:rPr>
        <w:t xml:space="preserve"> peuvent </w:t>
      </w:r>
      <w:r w:rsidR="00755937" w:rsidRPr="00177154">
        <w:rPr>
          <w:lang w:val="fr-CA"/>
        </w:rPr>
        <w:t xml:space="preserve">nuire à </w:t>
      </w:r>
      <w:hyperlink r:id="rId18" w:anchor="a21" w:history="1">
        <w:r w:rsidR="00755937" w:rsidRPr="00177154">
          <w:rPr>
            <w:rStyle w:val="Hyperlink"/>
            <w:lang w:val="fr-CA"/>
          </w:rPr>
          <w:t>l’inclusion</w:t>
        </w:r>
      </w:hyperlink>
      <w:r w:rsidR="00755937" w:rsidRPr="00177154">
        <w:rPr>
          <w:lang w:val="fr-CA"/>
        </w:rPr>
        <w:t xml:space="preserve"> et à la </w:t>
      </w:r>
      <w:hyperlink r:id="rId19" w:anchor="a8" w:history="1">
        <w:r w:rsidR="00755937" w:rsidRPr="00177154">
          <w:rPr>
            <w:rStyle w:val="Hyperlink"/>
            <w:lang w:val="fr-CA"/>
          </w:rPr>
          <w:t>diversité</w:t>
        </w:r>
      </w:hyperlink>
      <w:r w:rsidR="00755937" w:rsidRPr="00177154">
        <w:rPr>
          <w:lang w:val="fr-CA"/>
        </w:rPr>
        <w:t xml:space="preserve"> en </w:t>
      </w:r>
      <w:r w:rsidRPr="00177154">
        <w:rPr>
          <w:lang w:val="fr-CA"/>
        </w:rPr>
        <w:t>perpétuant la domination de certaines perspectives et en marginalisant d’autres.</w:t>
      </w:r>
      <w:bookmarkEnd w:id="48"/>
      <w:r w:rsidRPr="00177154">
        <w:rPr>
          <w:lang w:val="fr-CA"/>
        </w:rPr>
        <w:t xml:space="preserve"> </w:t>
      </w:r>
      <w:bookmarkStart w:id="49" w:name="lt_pId084"/>
      <w:r w:rsidRPr="00177154">
        <w:rPr>
          <w:lang w:val="fr-CA"/>
        </w:rPr>
        <w:t xml:space="preserve">Il est essentiel de reconnaître et d’atténuer ces préjugés afin de garantir une évaluation juste et équitable des propositions de recherche, ce qui, en fin de compte, favorisera l’inclusion au sein de la communauté </w:t>
      </w:r>
      <w:r w:rsidR="00496629">
        <w:rPr>
          <w:lang w:val="fr-CA"/>
        </w:rPr>
        <w:t>de recherche</w:t>
      </w:r>
      <w:r w:rsidRPr="00177154">
        <w:rPr>
          <w:lang w:val="fr-CA"/>
        </w:rPr>
        <w:t>.</w:t>
      </w:r>
      <w:bookmarkEnd w:id="49"/>
    </w:p>
    <w:p w14:paraId="7234C27F" w14:textId="7A9E5AE6" w:rsidR="003E7380" w:rsidRPr="00177154" w:rsidRDefault="003E7380" w:rsidP="006E2D20">
      <w:pPr>
        <w:pStyle w:val="Heading1"/>
        <w:rPr>
          <w:lang w:val="fr-CA"/>
        </w:rPr>
      </w:pPr>
      <w:bookmarkStart w:id="50" w:name="lt_pId086"/>
      <w:r w:rsidRPr="00177154">
        <w:rPr>
          <w:lang w:val="fr-CA"/>
        </w:rPr>
        <w:t>Les préjugés systémiques</w:t>
      </w:r>
      <w:bookmarkEnd w:id="50"/>
      <w:r w:rsidR="006E2D20" w:rsidRPr="00177154">
        <w:rPr>
          <w:lang w:val="fr-CA"/>
        </w:rPr>
        <w:t xml:space="preserve"> 1</w:t>
      </w:r>
    </w:p>
    <w:p w14:paraId="0FB0821A" w14:textId="1D6835F6" w:rsidR="003E7380" w:rsidRPr="00177154" w:rsidRDefault="003E7380" w:rsidP="00E174E6">
      <w:pPr>
        <w:rPr>
          <w:szCs w:val="22"/>
          <w:lang w:val="fr-CA"/>
        </w:rPr>
      </w:pPr>
      <w:bookmarkStart w:id="51" w:name="lt_pId087"/>
      <w:r w:rsidRPr="00177154">
        <w:rPr>
          <w:lang w:val="fr-CA"/>
        </w:rPr>
        <w:t xml:space="preserve">Outre les préjugés individuels, il existe également des préjugés systémiques. </w:t>
      </w:r>
      <w:bookmarkStart w:id="52" w:name="lt_pId088"/>
      <w:bookmarkEnd w:id="51"/>
      <w:r w:rsidRPr="00177154">
        <w:rPr>
          <w:lang w:val="fr-CA"/>
        </w:rPr>
        <w:t xml:space="preserve">Il s’agit des façons dont les règles et les normes de la société peuvent freiner certaines personnes et en favoriser d’autres. </w:t>
      </w:r>
      <w:bookmarkEnd w:id="52"/>
    </w:p>
    <w:p w14:paraId="017BDFF6" w14:textId="00166D6B" w:rsidR="003E7380" w:rsidRPr="00177154" w:rsidRDefault="003E7380" w:rsidP="006E2D20">
      <w:pPr>
        <w:pStyle w:val="Heading1"/>
        <w:rPr>
          <w:lang w:val="fr-CA"/>
        </w:rPr>
      </w:pPr>
      <w:bookmarkStart w:id="53" w:name="lt_pId090"/>
      <w:r w:rsidRPr="00177154">
        <w:rPr>
          <w:lang w:val="fr-CA"/>
        </w:rPr>
        <w:t>Les préjugés systémiques</w:t>
      </w:r>
      <w:bookmarkEnd w:id="53"/>
      <w:r w:rsidR="006E2D20" w:rsidRPr="00177154">
        <w:rPr>
          <w:lang w:val="fr-CA"/>
        </w:rPr>
        <w:t xml:space="preserve"> 2</w:t>
      </w:r>
    </w:p>
    <w:p w14:paraId="58B55D25" w14:textId="48EE1D3C" w:rsidR="003E7380" w:rsidRPr="00177154" w:rsidRDefault="003E7380" w:rsidP="00E174E6">
      <w:pPr>
        <w:rPr>
          <w:szCs w:val="22"/>
          <w:lang w:val="fr-CA"/>
        </w:rPr>
      </w:pPr>
      <w:bookmarkStart w:id="54" w:name="lt_pId091"/>
      <w:r w:rsidRPr="00177154">
        <w:rPr>
          <w:lang w:val="fr-CA"/>
        </w:rPr>
        <w:t>Imaginez que toutes les meilleures opportunités soient réservées aux personnes qui ont pu mener leurs recherches ou suivre leurs études sans interruption, sans avoir besoin de prendre de congé.</w:t>
      </w:r>
      <w:bookmarkStart w:id="55" w:name="lt_pId092"/>
      <w:bookmarkEnd w:id="54"/>
      <w:r w:rsidR="006E2D20" w:rsidRPr="00177154">
        <w:rPr>
          <w:lang w:val="fr-CA"/>
        </w:rPr>
        <w:t xml:space="preserve"> </w:t>
      </w:r>
      <w:r w:rsidRPr="00177154">
        <w:rPr>
          <w:lang w:val="fr-CA"/>
        </w:rPr>
        <w:t xml:space="preserve">Cela profiterait aux personnes qui n’ont pas besoin de s’absenter de leur travail ou de leurs études, mais pourrait désavantager celles qui doivent s’absenter en raison d’obligations familiales, d’un </w:t>
      </w:r>
      <w:hyperlink r:id="rId20" w:anchor="a17" w:history="1">
        <w:r w:rsidRPr="0022668D">
          <w:rPr>
            <w:rStyle w:val="Hyperlink"/>
            <w:lang w:val="fr-CA"/>
          </w:rPr>
          <w:t>handicap</w:t>
        </w:r>
      </w:hyperlink>
      <w:r w:rsidRPr="00177154">
        <w:rPr>
          <w:lang w:val="fr-CA"/>
        </w:rPr>
        <w:t xml:space="preserve"> ou d’un problème de santé.</w:t>
      </w:r>
      <w:bookmarkEnd w:id="55"/>
      <w:r w:rsidRPr="00177154">
        <w:rPr>
          <w:lang w:val="fr-CA"/>
        </w:rPr>
        <w:t xml:space="preserve"> </w:t>
      </w:r>
    </w:p>
    <w:p w14:paraId="40C348FE" w14:textId="64FCAEA9" w:rsidR="003E7380" w:rsidRPr="00177154" w:rsidRDefault="003E7380" w:rsidP="006E2D20">
      <w:pPr>
        <w:pStyle w:val="Heading1"/>
        <w:rPr>
          <w:lang w:val="fr-CA"/>
        </w:rPr>
      </w:pPr>
      <w:bookmarkStart w:id="56" w:name="lt_pId094"/>
      <w:r w:rsidRPr="00177154">
        <w:rPr>
          <w:lang w:val="fr-CA"/>
        </w:rPr>
        <w:t>Les préjugés systémiques</w:t>
      </w:r>
      <w:bookmarkEnd w:id="56"/>
      <w:r w:rsidR="006E2D20" w:rsidRPr="00177154">
        <w:rPr>
          <w:lang w:val="fr-CA"/>
        </w:rPr>
        <w:t xml:space="preserve"> 3</w:t>
      </w:r>
    </w:p>
    <w:p w14:paraId="1B052053" w14:textId="758CA4F4" w:rsidR="003E7380" w:rsidRPr="00177154" w:rsidRDefault="003E7380" w:rsidP="00C81AB2">
      <w:pPr>
        <w:rPr>
          <w:lang w:val="fr-CA"/>
        </w:rPr>
      </w:pPr>
      <w:bookmarkStart w:id="57" w:name="lt_pId095"/>
      <w:r w:rsidRPr="00177154">
        <w:rPr>
          <w:lang w:val="fr-CA"/>
        </w:rPr>
        <w:t>On qualifie certains préjugés de «</w:t>
      </w:r>
      <w:r w:rsidRPr="00177154">
        <w:rPr>
          <w:rFonts w:ascii="Arial" w:hAnsi="Arial" w:cs="Arial"/>
          <w:lang w:val="fr-CA"/>
        </w:rPr>
        <w:t> </w:t>
      </w:r>
      <w:r w:rsidRPr="00177154">
        <w:rPr>
          <w:lang w:val="fr-CA"/>
        </w:rPr>
        <w:t>systémiques</w:t>
      </w:r>
      <w:r w:rsidRPr="00177154">
        <w:rPr>
          <w:rFonts w:ascii="Arial" w:hAnsi="Arial" w:cs="Arial"/>
          <w:lang w:val="fr-CA"/>
        </w:rPr>
        <w:t> </w:t>
      </w:r>
      <w:r w:rsidRPr="00177154">
        <w:rPr>
          <w:lang w:val="fr-CA"/>
        </w:rPr>
        <w:t>» parce qu’ils ont des répercussions cumulatives et prolongées. Ce type de préjugés peut être difficilement repérable pour les personnes qui ne sont pas confrontées aux obstacles ou aux inégalités qui y sont associés</w:t>
      </w:r>
      <w:bookmarkStart w:id="58" w:name="lt_pId096"/>
      <w:bookmarkEnd w:id="57"/>
      <w:r w:rsidRPr="00177154">
        <w:rPr>
          <w:lang w:val="fr-CA"/>
        </w:rPr>
        <w:t>.</w:t>
      </w:r>
      <w:bookmarkEnd w:id="58"/>
      <w:r w:rsidR="006E2D20" w:rsidRPr="00177154">
        <w:rPr>
          <w:lang w:val="fr-CA"/>
        </w:rPr>
        <w:t xml:space="preserve"> </w:t>
      </w:r>
      <w:bookmarkStart w:id="59" w:name="lt_pId097"/>
      <w:r w:rsidRPr="00177154">
        <w:rPr>
          <w:lang w:val="fr-CA"/>
        </w:rPr>
        <w:t xml:space="preserve">Au Canada, des études montrent des écarts salariaux, </w:t>
      </w:r>
      <w:bookmarkStart w:id="60" w:name="lt_pId098"/>
      <w:bookmarkEnd w:id="59"/>
      <w:r w:rsidRPr="00177154">
        <w:rPr>
          <w:lang w:val="fr-CA"/>
        </w:rPr>
        <w:t xml:space="preserve">des disparités en matière de sécurité d’emploi, </w:t>
      </w:r>
      <w:bookmarkStart w:id="61" w:name="lt_pId099"/>
      <w:bookmarkEnd w:id="60"/>
      <w:r w:rsidRPr="00177154">
        <w:rPr>
          <w:lang w:val="fr-CA"/>
        </w:rPr>
        <w:t xml:space="preserve">et les cas de </w:t>
      </w:r>
      <w:hyperlink r:id="rId21" w:anchor="a7" w:history="1">
        <w:r w:rsidRPr="0022668D">
          <w:rPr>
            <w:rStyle w:val="Hyperlink"/>
            <w:lang w:val="fr-CA"/>
          </w:rPr>
          <w:t>discrimination</w:t>
        </w:r>
      </w:hyperlink>
      <w:r w:rsidRPr="00177154">
        <w:rPr>
          <w:lang w:val="fr-CA"/>
        </w:rPr>
        <w:t xml:space="preserve"> sont bien documentés</w:t>
      </w:r>
      <w:bookmarkStart w:id="62" w:name="lt_pId100"/>
      <w:bookmarkEnd w:id="61"/>
      <w:r w:rsidR="006E2D20" w:rsidRPr="00177154">
        <w:rPr>
          <w:lang w:val="fr-CA"/>
        </w:rPr>
        <w:t xml:space="preserve"> </w:t>
      </w:r>
      <w:r w:rsidRPr="00177154">
        <w:rPr>
          <w:lang w:val="fr-CA"/>
        </w:rPr>
        <w:t xml:space="preserve">chez les Autochtones (Premières Nations, Inuits, Métis), </w:t>
      </w:r>
      <w:bookmarkStart w:id="63" w:name="lt_pId101"/>
      <w:bookmarkEnd w:id="62"/>
      <w:r w:rsidRPr="00177154">
        <w:rPr>
          <w:lang w:val="fr-CA"/>
        </w:rPr>
        <w:t xml:space="preserve">chez </w:t>
      </w:r>
      <w:bookmarkEnd w:id="63"/>
      <w:r w:rsidR="00C81AB2" w:rsidRPr="00177154">
        <w:rPr>
          <w:lang w:val="fr-CA"/>
        </w:rPr>
        <w:t>les personnes </w:t>
      </w:r>
      <w:hyperlink r:id="rId22" w:anchor="a1" w:history="1">
        <w:r w:rsidR="00C81AB2" w:rsidRPr="00177154">
          <w:rPr>
            <w:rStyle w:val="Hyperlink"/>
            <w:lang w:val="fr-CA"/>
          </w:rPr>
          <w:t>2ELGBTQI+</w:t>
        </w:r>
      </w:hyperlink>
      <w:r w:rsidR="00C81AB2" w:rsidRPr="00177154">
        <w:rPr>
          <w:lang w:val="fr-CA"/>
        </w:rPr>
        <w:t xml:space="preserve">, </w:t>
      </w:r>
      <w:bookmarkStart w:id="64" w:name="lt_pId102"/>
      <w:r w:rsidR="00C81AB2" w:rsidRPr="00177154">
        <w:rPr>
          <w:lang w:val="fr-CA"/>
        </w:rPr>
        <w:t xml:space="preserve">chez les personnes en </w:t>
      </w:r>
      <w:hyperlink r:id="rId23" w:anchor="a17" w:history="1">
        <w:r w:rsidR="00C81AB2" w:rsidRPr="009D7527">
          <w:rPr>
            <w:rStyle w:val="Hyperlink"/>
            <w:lang w:val="fr-CA"/>
          </w:rPr>
          <w:t>situation de handicap</w:t>
        </w:r>
      </w:hyperlink>
      <w:r w:rsidR="00C81AB2" w:rsidRPr="00177154">
        <w:rPr>
          <w:lang w:val="fr-CA"/>
        </w:rPr>
        <w:t xml:space="preserve"> ou d’autres </w:t>
      </w:r>
      <w:hyperlink r:id="rId24" w:anchor="a15" w:history="1">
        <w:r w:rsidR="00C81AB2" w:rsidRPr="00177154">
          <w:rPr>
            <w:rStyle w:val="Hyperlink"/>
            <w:lang w:val="fr-CA"/>
          </w:rPr>
          <w:t>groupes minoritaires</w:t>
        </w:r>
      </w:hyperlink>
      <w:r w:rsidR="00C81AB2" w:rsidRPr="00177154">
        <w:rPr>
          <w:lang w:val="fr-CA"/>
        </w:rPr>
        <w:t>.</w:t>
      </w:r>
      <w:bookmarkEnd w:id="64"/>
    </w:p>
    <w:p w14:paraId="2EB5CC2C" w14:textId="77777777" w:rsidR="003E7380" w:rsidRPr="00177154" w:rsidRDefault="003E7380" w:rsidP="006E2D20">
      <w:pPr>
        <w:pStyle w:val="Heading1"/>
        <w:rPr>
          <w:rStyle w:val="eop"/>
          <w:rFonts w:eastAsia="Calibri"/>
          <w:lang w:val="fr-CA"/>
        </w:rPr>
      </w:pPr>
      <w:bookmarkStart w:id="65" w:name="lt_pId104"/>
      <w:r w:rsidRPr="00177154">
        <w:rPr>
          <w:rStyle w:val="normaltextrun"/>
          <w:rFonts w:cs="Calibri"/>
          <w:lang w:val="fr-CA"/>
        </w:rPr>
        <w:t>Relations entre préjugés individuels et préjugés systémiques</w:t>
      </w:r>
      <w:bookmarkEnd w:id="65"/>
    </w:p>
    <w:p w14:paraId="34AEB435" w14:textId="14F76EC8" w:rsidR="003E7380" w:rsidRPr="00177154" w:rsidRDefault="003E7380" w:rsidP="00E174E6">
      <w:pPr>
        <w:rPr>
          <w:lang w:val="fr-CA"/>
        </w:rPr>
      </w:pPr>
      <w:bookmarkStart w:id="66" w:name="lt_pId105"/>
      <w:r w:rsidRPr="00177154">
        <w:rPr>
          <w:rStyle w:val="normaltextrun"/>
          <w:rFonts w:cs="Calibri"/>
          <w:lang w:val="fr-CA"/>
        </w:rPr>
        <w:lastRenderedPageBreak/>
        <w:t>Les préjugés individuels sont souvent façonnés et influencés par les préjugés systémiques, et vice versa.</w:t>
      </w:r>
      <w:bookmarkEnd w:id="66"/>
      <w:r w:rsidRPr="00177154">
        <w:rPr>
          <w:rStyle w:val="normaltextrun"/>
          <w:rFonts w:cs="Calibri"/>
          <w:lang w:val="fr-CA"/>
        </w:rPr>
        <w:t xml:space="preserve"> </w:t>
      </w:r>
      <w:bookmarkStart w:id="67" w:name="lt_pId106"/>
      <w:r w:rsidRPr="00177154">
        <w:rPr>
          <w:rStyle w:val="normaltextrun"/>
          <w:rFonts w:cs="Calibri"/>
          <w:lang w:val="fr-CA"/>
        </w:rPr>
        <w:t xml:space="preserve">Qu’ils soient individuels ou systémiques, les préjugés peuvent renforcer les obstacles </w:t>
      </w:r>
      <w:r w:rsidR="00CB5EB2" w:rsidRPr="00177154">
        <w:rPr>
          <w:rStyle w:val="normaltextrun"/>
          <w:rFonts w:cs="Calibri"/>
          <w:lang w:val="fr-CA"/>
        </w:rPr>
        <w:t xml:space="preserve">des </w:t>
      </w:r>
      <w:hyperlink r:id="rId25" w:anchor="a16" w:history="1">
        <w:r w:rsidR="00CB5EB2" w:rsidRPr="00177154">
          <w:rPr>
            <w:rStyle w:val="Hyperlink"/>
            <w:rFonts w:cs="Calibri"/>
            <w:lang w:val="fr-CA"/>
          </w:rPr>
          <w:t>groupes sous-représentés</w:t>
        </w:r>
      </w:hyperlink>
      <w:r w:rsidR="00CB5EB2" w:rsidRPr="00177154">
        <w:rPr>
          <w:rStyle w:val="normaltextrun"/>
          <w:rFonts w:cs="Calibri"/>
          <w:lang w:val="fr-CA"/>
        </w:rPr>
        <w:t xml:space="preserve"> relativement </w:t>
      </w:r>
      <w:r w:rsidRPr="00177154">
        <w:rPr>
          <w:rStyle w:val="normaltextrun"/>
          <w:rFonts w:cs="Calibri"/>
          <w:lang w:val="fr-CA"/>
        </w:rPr>
        <w:t>à l’évaluation par les pairs.</w:t>
      </w:r>
      <w:bookmarkEnd w:id="67"/>
      <w:r w:rsidRPr="00177154">
        <w:rPr>
          <w:rStyle w:val="eop"/>
          <w:rFonts w:eastAsia="Calibri"/>
          <w:lang w:val="fr-CA"/>
        </w:rPr>
        <w:t xml:space="preserve"> </w:t>
      </w:r>
      <w:bookmarkStart w:id="68" w:name="lt_pId107"/>
      <w:r w:rsidRPr="00177154">
        <w:rPr>
          <w:rStyle w:val="normaltextrun"/>
          <w:rFonts w:cs="Calibri"/>
          <w:lang w:val="fr-CA"/>
        </w:rPr>
        <w:t>Reconnaître l’existence de préjugés systémiques est une première étape à franchir afin de pouvoir se concentrer sur le contenu des propositions de recherche à évaluer plutôt que sur les présomptions concernant le chercheur, le thème de recherche ou les utilisateurs de la recherche.</w:t>
      </w:r>
      <w:bookmarkEnd w:id="68"/>
      <w:r w:rsidRPr="00177154">
        <w:rPr>
          <w:rStyle w:val="eop"/>
          <w:rFonts w:eastAsia="Calibri"/>
          <w:lang w:val="fr-CA"/>
        </w:rPr>
        <w:t xml:space="preserve"> </w:t>
      </w:r>
      <w:bookmarkStart w:id="69" w:name="lt_pId108"/>
      <w:r w:rsidRPr="00177154">
        <w:rPr>
          <w:lang w:val="fr-CA"/>
        </w:rPr>
        <w:t>Les deux questions suivantes testeront vos connaissances sur les préjugés.</w:t>
      </w:r>
      <w:bookmarkEnd w:id="69"/>
    </w:p>
    <w:p w14:paraId="6ADF3263" w14:textId="00DEDAA6" w:rsidR="006E2D20" w:rsidRPr="00177154" w:rsidRDefault="006E2D20" w:rsidP="006E2D20">
      <w:pPr>
        <w:pStyle w:val="Heading1"/>
        <w:rPr>
          <w:szCs w:val="22"/>
          <w:lang w:val="fr-CA"/>
        </w:rPr>
      </w:pPr>
      <w:r w:rsidRPr="00177154">
        <w:rPr>
          <w:lang w:val="fr-CA"/>
        </w:rPr>
        <w:t xml:space="preserve">Choix </w:t>
      </w:r>
      <w:r w:rsidR="00921771">
        <w:rPr>
          <w:lang w:val="fr-CA"/>
        </w:rPr>
        <w:t>m</w:t>
      </w:r>
      <w:r w:rsidR="00921771" w:rsidRPr="00177154">
        <w:rPr>
          <w:lang w:val="fr-CA"/>
        </w:rPr>
        <w:t xml:space="preserve">ultiple </w:t>
      </w:r>
      <w:r w:rsidRPr="00177154">
        <w:rPr>
          <w:lang w:val="fr-CA"/>
        </w:rPr>
        <w:t>1</w:t>
      </w:r>
    </w:p>
    <w:p w14:paraId="2D441865" w14:textId="4471E70F" w:rsidR="003E7380" w:rsidRPr="00177154" w:rsidRDefault="003E7380" w:rsidP="00E174E6">
      <w:pPr>
        <w:rPr>
          <w:lang w:val="fr-CA"/>
        </w:rPr>
      </w:pPr>
      <w:bookmarkStart w:id="70" w:name="lt_pId110"/>
      <w:r w:rsidRPr="00177154">
        <w:rPr>
          <w:lang w:val="fr-CA"/>
        </w:rPr>
        <w:t>Un comité organisateur reçoit une suggestion pour sa prochaine conférence : fournir des cartes tactiles aux participants malvoyants afin qu’ils puissent se repérer dans le lieu de la conférence.</w:t>
      </w:r>
      <w:bookmarkEnd w:id="70"/>
      <w:r w:rsidRPr="00177154">
        <w:rPr>
          <w:lang w:val="fr-CA"/>
        </w:rPr>
        <w:t xml:space="preserve"> </w:t>
      </w:r>
      <w:bookmarkStart w:id="71" w:name="lt_pId111"/>
      <w:r w:rsidR="00394B06" w:rsidRPr="00394B06">
        <w:rPr>
          <w:lang w:val="fr-CA"/>
        </w:rPr>
        <w:t>Le comité</w:t>
      </w:r>
      <w:r w:rsidR="00394B06" w:rsidRPr="00394B06" w:rsidDel="00394B06">
        <w:rPr>
          <w:lang w:val="fr-CA"/>
        </w:rPr>
        <w:t xml:space="preserve"> </w:t>
      </w:r>
      <w:r w:rsidRPr="00177154">
        <w:rPr>
          <w:lang w:val="fr-CA"/>
        </w:rPr>
        <w:t>ignore cette suggestion et préfère installer des rampes d’accès pour les fauteuils roulants et fournir des interprètes en langue des signes.</w:t>
      </w:r>
      <w:bookmarkEnd w:id="71"/>
      <w:r w:rsidRPr="00177154">
        <w:rPr>
          <w:lang w:val="fr-CA"/>
        </w:rPr>
        <w:t xml:space="preserve"> </w:t>
      </w:r>
    </w:p>
    <w:p w14:paraId="28689B95" w14:textId="1137F5BE" w:rsidR="003E7380" w:rsidRPr="00177154" w:rsidRDefault="003E7380" w:rsidP="00E174E6">
      <w:pPr>
        <w:rPr>
          <w:lang w:val="fr-CA"/>
        </w:rPr>
      </w:pPr>
      <w:bookmarkStart w:id="72" w:name="lt_pId112"/>
      <w:r w:rsidRPr="00177154">
        <w:rPr>
          <w:lang w:val="fr-CA"/>
        </w:rPr>
        <w:t xml:space="preserve">Laquelle des propositions suivantes illustre le mieux les </w:t>
      </w:r>
      <w:hyperlink r:id="rId26" w:anchor="a36" w:history="1">
        <w:r w:rsidRPr="0022668D">
          <w:rPr>
            <w:rStyle w:val="Hyperlink"/>
            <w:lang w:val="fr-CA"/>
          </w:rPr>
          <w:t>préjugés inconscients</w:t>
        </w:r>
      </w:hyperlink>
      <w:r w:rsidRPr="00177154">
        <w:rPr>
          <w:lang w:val="fr-CA"/>
        </w:rPr>
        <w:t xml:space="preserve"> dans le processus décisionnel du comité?</w:t>
      </w:r>
      <w:bookmarkEnd w:id="72"/>
    </w:p>
    <w:p w14:paraId="50256225" w14:textId="77777777" w:rsidR="003E7380" w:rsidRPr="00177154" w:rsidRDefault="003E7380" w:rsidP="00E30D4C">
      <w:pPr>
        <w:pStyle w:val="ListParagraph"/>
        <w:numPr>
          <w:ilvl w:val="0"/>
          <w:numId w:val="2"/>
        </w:numPr>
        <w:spacing w:before="240" w:after="0"/>
        <w:rPr>
          <w:lang w:val="fr-CA"/>
        </w:rPr>
      </w:pPr>
      <w:bookmarkStart w:id="73" w:name="lt_pId113"/>
      <w:r w:rsidRPr="00177154">
        <w:rPr>
          <w:lang w:val="fr-CA"/>
        </w:rPr>
        <w:t>Les membres du comité expriment ouvertement leur réticence à fournir des cartes tactiles aux participants malvoyants, invoquant des préoccupations liées au coût.</w:t>
      </w:r>
      <w:bookmarkEnd w:id="73"/>
    </w:p>
    <w:p w14:paraId="4532F610" w14:textId="77777777" w:rsidR="003E7380" w:rsidRPr="00177154" w:rsidRDefault="003E7380" w:rsidP="00E30D4C">
      <w:pPr>
        <w:pStyle w:val="ListParagraph"/>
        <w:numPr>
          <w:ilvl w:val="0"/>
          <w:numId w:val="2"/>
        </w:numPr>
        <w:spacing w:before="240" w:after="0"/>
        <w:rPr>
          <w:lang w:val="fr-CA"/>
        </w:rPr>
      </w:pPr>
      <w:bookmarkStart w:id="74" w:name="lt_pId114"/>
      <w:r w:rsidRPr="00177154">
        <w:rPr>
          <w:lang w:val="fr-CA"/>
        </w:rPr>
        <w:t>Bien qu’il reconnaisse l’importance de l’accessibilité, le comité néglige la suggestion de fournir des cartes tactiles aux participants malvoyants.</w:t>
      </w:r>
      <w:bookmarkEnd w:id="74"/>
    </w:p>
    <w:p w14:paraId="4F16AEBC" w14:textId="77777777" w:rsidR="003E7380" w:rsidRPr="00177154" w:rsidRDefault="003E7380" w:rsidP="00E30D4C">
      <w:pPr>
        <w:pStyle w:val="ListParagraph"/>
        <w:numPr>
          <w:ilvl w:val="0"/>
          <w:numId w:val="2"/>
        </w:numPr>
        <w:spacing w:before="240" w:after="0"/>
        <w:rPr>
          <w:lang w:val="fr-CA"/>
        </w:rPr>
      </w:pPr>
      <w:bookmarkStart w:id="75" w:name="lt_pId115"/>
      <w:r w:rsidRPr="00177154">
        <w:rPr>
          <w:lang w:val="fr-CA"/>
        </w:rPr>
        <w:t>Le comité suit une liste de vérification standard pour les exigences en matière d’accessibilité, qui comprend l’accessibilité en fauteuil roulant et les interprètes en langue des signes, mais ne tient pas compte des autres besoins en matière d’accessibilité.</w:t>
      </w:r>
      <w:bookmarkEnd w:id="75"/>
    </w:p>
    <w:p w14:paraId="343A43DB" w14:textId="7459A388" w:rsidR="003E7380" w:rsidRPr="00177154" w:rsidRDefault="003E7380" w:rsidP="00E30D4C">
      <w:pPr>
        <w:pStyle w:val="ListParagraph"/>
        <w:numPr>
          <w:ilvl w:val="0"/>
          <w:numId w:val="2"/>
        </w:numPr>
        <w:spacing w:before="240" w:after="0"/>
        <w:rPr>
          <w:lang w:val="fr-CA"/>
        </w:rPr>
      </w:pPr>
      <w:bookmarkStart w:id="76" w:name="lt_pId116"/>
      <w:r w:rsidRPr="00177154">
        <w:rPr>
          <w:lang w:val="fr-CA"/>
        </w:rPr>
        <w:t xml:space="preserve">Le comité sollicite activement l’avis des participants </w:t>
      </w:r>
      <w:r w:rsidR="00A27353" w:rsidRPr="00A27353">
        <w:rPr>
          <w:lang w:val="fr-CA"/>
        </w:rPr>
        <w:t xml:space="preserve">en situation de </w:t>
      </w:r>
      <w:r w:rsidRPr="00177154">
        <w:rPr>
          <w:lang w:val="fr-CA"/>
        </w:rPr>
        <w:t>handicap et intègre des exigences d’accessibilité qui répondent à un large éventail de besoins, y compris des cartes tactiles pour les personnes malvoyantes.</w:t>
      </w:r>
      <w:bookmarkEnd w:id="76"/>
    </w:p>
    <w:p w14:paraId="3A49EF11" w14:textId="77777777" w:rsidR="003E7380" w:rsidRPr="00177154" w:rsidRDefault="003E7380" w:rsidP="00E174E6">
      <w:pPr>
        <w:rPr>
          <w:b/>
          <w:bCs/>
          <w:lang w:val="fr-CA"/>
        </w:rPr>
      </w:pPr>
      <w:bookmarkStart w:id="77" w:name="lt_pId117"/>
      <w:r w:rsidRPr="00177154">
        <w:rPr>
          <w:b/>
          <w:bCs/>
          <w:lang w:val="fr-CA"/>
        </w:rPr>
        <w:t xml:space="preserve">Bonne réponse : </w:t>
      </w:r>
      <w:bookmarkEnd w:id="77"/>
    </w:p>
    <w:p w14:paraId="41653618" w14:textId="77777777" w:rsidR="003E7380" w:rsidRPr="00177154" w:rsidRDefault="003E7380" w:rsidP="00E174E6">
      <w:pPr>
        <w:rPr>
          <w:lang w:val="fr-CA"/>
        </w:rPr>
      </w:pPr>
      <w:bookmarkStart w:id="78" w:name="lt_pId118"/>
      <w:r w:rsidRPr="00177154">
        <w:rPr>
          <w:lang w:val="fr-CA"/>
        </w:rPr>
        <w:t>Bien joué</w:t>
      </w:r>
      <w:bookmarkStart w:id="79" w:name="lt_pId119"/>
      <w:bookmarkEnd w:id="78"/>
      <w:r w:rsidRPr="00177154">
        <w:rPr>
          <w:lang w:val="fr-CA"/>
        </w:rPr>
        <w:t>! La bonne réponse est B.</w:t>
      </w:r>
      <w:bookmarkEnd w:id="79"/>
      <w:r w:rsidRPr="00177154">
        <w:rPr>
          <w:lang w:val="fr-CA"/>
        </w:rPr>
        <w:t xml:space="preserve"> </w:t>
      </w:r>
    </w:p>
    <w:p w14:paraId="62D9052B" w14:textId="77777777" w:rsidR="003E7380" w:rsidRPr="00177154" w:rsidRDefault="003E7380" w:rsidP="00E174E6">
      <w:pPr>
        <w:rPr>
          <w:lang w:val="fr-CA"/>
        </w:rPr>
      </w:pPr>
      <w:bookmarkStart w:id="80" w:name="lt_pId120"/>
      <w:r w:rsidRPr="00177154">
        <w:rPr>
          <w:lang w:val="fr-CA"/>
        </w:rPr>
        <w:t xml:space="preserve">L’option B est l’exemple le plus clair de préjugé inconscient, car les membres du comité ont de bonnes intentions dans leurs efforts pour garantir l’accessibilité, mais négligent des suggestions qui sont essentielles pour répondre aux besoins des participants malvoyants. </w:t>
      </w:r>
      <w:bookmarkEnd w:id="80"/>
    </w:p>
    <w:p w14:paraId="3AA82347" w14:textId="77777777" w:rsidR="003E7380" w:rsidRPr="00177154" w:rsidRDefault="003E7380" w:rsidP="00E174E6">
      <w:pPr>
        <w:rPr>
          <w:lang w:val="fr-CA"/>
        </w:rPr>
      </w:pPr>
      <w:bookmarkStart w:id="81" w:name="lt_pId121"/>
      <w:r w:rsidRPr="00177154">
        <w:rPr>
          <w:lang w:val="fr-CA"/>
        </w:rPr>
        <w:lastRenderedPageBreak/>
        <w:t xml:space="preserve">Cette omission peut résulter d’un manque de sensibilisation ou de compréhension des défis auxquels ce groupe est confronté, ce qui conduit à un préjugé inconscient dans la prise de décision. </w:t>
      </w:r>
      <w:bookmarkStart w:id="82" w:name="lt_pId122"/>
      <w:bookmarkEnd w:id="81"/>
      <w:r w:rsidRPr="00177154">
        <w:rPr>
          <w:lang w:val="fr-CA"/>
        </w:rPr>
        <w:t>Les préjugés ne sont pas toujours évidents, et les décisions peuvent refléter plusieurs formes de préjugés à la fois.</w:t>
      </w:r>
      <w:bookmarkEnd w:id="82"/>
      <w:r w:rsidRPr="00177154">
        <w:rPr>
          <w:lang w:val="fr-CA"/>
        </w:rPr>
        <w:t xml:space="preserve">  </w:t>
      </w:r>
      <w:bookmarkStart w:id="83" w:name="lt_pId123"/>
      <w:r w:rsidRPr="00177154">
        <w:rPr>
          <w:lang w:val="fr-CA"/>
        </w:rPr>
        <w:t xml:space="preserve"> Par exemple, les préjugés systémiques peuvent conduire à des préjugés conscients ou inconscients.</w:t>
      </w:r>
      <w:bookmarkEnd w:id="83"/>
    </w:p>
    <w:p w14:paraId="5F5E40C5" w14:textId="77777777" w:rsidR="003E7380" w:rsidRPr="00177154" w:rsidRDefault="003E7380" w:rsidP="00E174E6">
      <w:pPr>
        <w:rPr>
          <w:lang w:val="fr-CA"/>
        </w:rPr>
      </w:pPr>
      <w:bookmarkStart w:id="84" w:name="lt_pId124"/>
      <w:r w:rsidRPr="00177154">
        <w:rPr>
          <w:lang w:val="fr-CA"/>
        </w:rPr>
        <w:t>Cliquez sur l’écran pour continuer.</w:t>
      </w:r>
      <w:bookmarkEnd w:id="84"/>
    </w:p>
    <w:p w14:paraId="3DE7A793" w14:textId="77777777" w:rsidR="003E7380" w:rsidRPr="00177154" w:rsidRDefault="003E7380" w:rsidP="00E174E6">
      <w:pPr>
        <w:rPr>
          <w:b/>
          <w:bCs/>
          <w:lang w:val="fr-CA"/>
        </w:rPr>
      </w:pPr>
      <w:bookmarkStart w:id="85" w:name="lt_pId125"/>
      <w:r w:rsidRPr="00177154">
        <w:rPr>
          <w:b/>
          <w:bCs/>
          <w:lang w:val="fr-CA"/>
        </w:rPr>
        <w:t xml:space="preserve">Mauvaise réponse : </w:t>
      </w:r>
      <w:bookmarkEnd w:id="85"/>
    </w:p>
    <w:p w14:paraId="7B147C5A" w14:textId="77777777" w:rsidR="003E7380" w:rsidRPr="00177154" w:rsidRDefault="003E7380" w:rsidP="00E174E6">
      <w:pPr>
        <w:rPr>
          <w:lang w:val="fr-CA"/>
        </w:rPr>
      </w:pPr>
      <w:bookmarkStart w:id="86" w:name="lt_pId126"/>
      <w:r w:rsidRPr="00177154">
        <w:rPr>
          <w:lang w:val="fr-CA"/>
        </w:rPr>
        <w:t>Bel effort</w:t>
      </w:r>
      <w:bookmarkStart w:id="87" w:name="lt_pId127"/>
      <w:bookmarkEnd w:id="86"/>
      <w:r w:rsidRPr="00177154">
        <w:rPr>
          <w:lang w:val="fr-CA"/>
        </w:rPr>
        <w:t>! Cependant, revoyons les options et le scénario.</w:t>
      </w:r>
      <w:bookmarkEnd w:id="87"/>
      <w:r w:rsidRPr="00177154">
        <w:rPr>
          <w:lang w:val="fr-CA"/>
        </w:rPr>
        <w:t xml:space="preserve"> </w:t>
      </w:r>
    </w:p>
    <w:p w14:paraId="5BF3939C" w14:textId="77777777" w:rsidR="003E7380" w:rsidRPr="00177154" w:rsidRDefault="003E7380" w:rsidP="00E174E6">
      <w:pPr>
        <w:rPr>
          <w:lang w:val="fr-CA"/>
        </w:rPr>
      </w:pPr>
      <w:bookmarkStart w:id="88" w:name="lt_pId128"/>
      <w:r w:rsidRPr="00177154">
        <w:rPr>
          <w:lang w:val="fr-CA"/>
        </w:rPr>
        <w:t xml:space="preserve">L’option A </w:t>
      </w:r>
      <w:proofErr w:type="spellStart"/>
      <w:r w:rsidRPr="00177154">
        <w:rPr>
          <w:lang w:val="fr-CA"/>
        </w:rPr>
        <w:t>démontre</w:t>
      </w:r>
      <w:proofErr w:type="spellEnd"/>
      <w:r w:rsidRPr="00177154">
        <w:rPr>
          <w:lang w:val="fr-CA"/>
        </w:rPr>
        <w:t xml:space="preserve"> un préjugé conscient, car les membres du comité expriment ouvertement leur réticence à fournir des exigences d’accessibilité aux participants malvoyants en raison d’attitudes négatives ou de préjugés.</w:t>
      </w:r>
      <w:bookmarkEnd w:id="88"/>
    </w:p>
    <w:p w14:paraId="2A72BEE2" w14:textId="77777777" w:rsidR="003E7380" w:rsidRPr="00177154" w:rsidRDefault="003E7380" w:rsidP="00E174E6">
      <w:pPr>
        <w:rPr>
          <w:lang w:val="fr-CA"/>
        </w:rPr>
      </w:pPr>
      <w:bookmarkStart w:id="89" w:name="lt_pId129"/>
      <w:r w:rsidRPr="00177154">
        <w:rPr>
          <w:lang w:val="fr-CA"/>
        </w:rPr>
        <w:t>L’option C met en évidence un préjugé systémique, le comité suivant les procédures établies sans évaluer de manière critique leur efficacité ni tenir compte des commentaires des groupes concernés, ce qui conduit à des pratiques d’exclusion.</w:t>
      </w:r>
      <w:bookmarkEnd w:id="89"/>
    </w:p>
    <w:p w14:paraId="0F11BD92" w14:textId="77777777" w:rsidR="003E7380" w:rsidRPr="00177154" w:rsidRDefault="003E7380" w:rsidP="00E174E6">
      <w:pPr>
        <w:rPr>
          <w:lang w:val="fr-CA"/>
        </w:rPr>
      </w:pPr>
      <w:bookmarkStart w:id="90" w:name="lt_pId130"/>
      <w:r w:rsidRPr="00177154">
        <w:rPr>
          <w:lang w:val="fr-CA"/>
        </w:rPr>
        <w:t>L’option D présente une approche proactive pour lutter contre les préjugés en sollicitant activement l’avis des personnes concernées et en ajustant les plans en conséquence, ce qui indique l’absence de préjugés inconscients.</w:t>
      </w:r>
      <w:bookmarkEnd w:id="90"/>
    </w:p>
    <w:p w14:paraId="36A238DF" w14:textId="77777777" w:rsidR="003E7380" w:rsidRPr="00177154" w:rsidRDefault="003E7380" w:rsidP="00E174E6">
      <w:pPr>
        <w:rPr>
          <w:lang w:val="fr-CA"/>
        </w:rPr>
      </w:pPr>
      <w:bookmarkStart w:id="91" w:name="lt_pId131"/>
      <w:r w:rsidRPr="00177154">
        <w:rPr>
          <w:lang w:val="fr-CA"/>
        </w:rPr>
        <w:t>Il convient de noter que les préjugés ne sont pas toujours clairement identifiables, car les décisions peuvent refléter plusieurs formes de préjugés à la fois.</w:t>
      </w:r>
      <w:bookmarkEnd w:id="91"/>
      <w:r w:rsidRPr="00177154">
        <w:rPr>
          <w:lang w:val="fr-CA"/>
        </w:rPr>
        <w:t xml:space="preserve">  </w:t>
      </w:r>
      <w:bookmarkStart w:id="92" w:name="lt_pId132"/>
      <w:r w:rsidRPr="00177154">
        <w:rPr>
          <w:lang w:val="fr-CA"/>
        </w:rPr>
        <w:t xml:space="preserve"> Par exemple, les préjugés systémiques peuvent conduire à des préjugés conscients ou inconscients.</w:t>
      </w:r>
      <w:bookmarkEnd w:id="92"/>
    </w:p>
    <w:p w14:paraId="086C8AA6" w14:textId="77777777" w:rsidR="003E7380" w:rsidRPr="00177154" w:rsidRDefault="003E7380" w:rsidP="00E174E6">
      <w:pPr>
        <w:rPr>
          <w:lang w:val="fr-CA"/>
        </w:rPr>
      </w:pPr>
      <w:bookmarkStart w:id="93" w:name="lt_pId133"/>
      <w:r w:rsidRPr="00177154">
        <w:rPr>
          <w:lang w:val="fr-CA"/>
        </w:rPr>
        <w:t>Cliquez sur l’écran pour continuer.</w:t>
      </w:r>
      <w:bookmarkEnd w:id="93"/>
    </w:p>
    <w:p w14:paraId="3FF594D9" w14:textId="56B561B1" w:rsidR="006E2D20" w:rsidRPr="00177154" w:rsidRDefault="006E2D20" w:rsidP="006E2D20">
      <w:pPr>
        <w:pStyle w:val="Heading1"/>
        <w:rPr>
          <w:lang w:val="fr-CA"/>
        </w:rPr>
      </w:pPr>
      <w:bookmarkStart w:id="94" w:name="lt_pId138"/>
      <w:r w:rsidRPr="00177154">
        <w:rPr>
          <w:lang w:val="fr-CA"/>
        </w:rPr>
        <w:t xml:space="preserve">Choix </w:t>
      </w:r>
      <w:r w:rsidR="00921771">
        <w:rPr>
          <w:lang w:val="fr-CA"/>
        </w:rPr>
        <w:t>m</w:t>
      </w:r>
      <w:r w:rsidR="00921771" w:rsidRPr="00177154">
        <w:rPr>
          <w:lang w:val="fr-CA"/>
        </w:rPr>
        <w:t xml:space="preserve">ultiple </w:t>
      </w:r>
      <w:r w:rsidRPr="00177154">
        <w:rPr>
          <w:lang w:val="fr-CA"/>
        </w:rPr>
        <w:t>2</w:t>
      </w:r>
    </w:p>
    <w:p w14:paraId="3EB8229B" w14:textId="6513B437" w:rsidR="003E7380" w:rsidRPr="00177154" w:rsidRDefault="003E7380" w:rsidP="00E174E6">
      <w:pPr>
        <w:rPr>
          <w:lang w:val="fr-CA"/>
        </w:rPr>
      </w:pPr>
      <w:r w:rsidRPr="00177154">
        <w:rPr>
          <w:lang w:val="fr-CA"/>
        </w:rPr>
        <w:t xml:space="preserve">Une chercheuse postdoctorale issue d’une université de second rang a récemment rejoint le laboratoire de l’un des meilleurs chercheurs dans son domaine. </w:t>
      </w:r>
      <w:bookmarkStart w:id="95" w:name="lt_pId139"/>
      <w:bookmarkEnd w:id="94"/>
      <w:r w:rsidRPr="00177154">
        <w:rPr>
          <w:lang w:val="fr-CA"/>
        </w:rPr>
        <w:t xml:space="preserve">Peu après son arrivée, elle demande à son professeur principal l’autorisation d’assister à une importante conférence au sujet de son nouveau domaine d’étude. </w:t>
      </w:r>
      <w:bookmarkStart w:id="96" w:name="lt_pId140"/>
      <w:bookmarkEnd w:id="95"/>
      <w:r w:rsidRPr="00177154">
        <w:rPr>
          <w:lang w:val="fr-CA"/>
        </w:rPr>
        <w:t xml:space="preserve">Le professeur lui répond avec un sourire narquois et une remarque de mauvais goût, laissant entendre que la chercheuse n’a pas encore mérité ce privilège et qu’elle doit faire ses preuves au laboratoire avant de pouvoir assister à des conférences prestigieuses. </w:t>
      </w:r>
      <w:bookmarkEnd w:id="96"/>
    </w:p>
    <w:p w14:paraId="39147A96" w14:textId="77777777" w:rsidR="003E7380" w:rsidRPr="00177154" w:rsidRDefault="003E7380" w:rsidP="00E174E6">
      <w:pPr>
        <w:rPr>
          <w:lang w:val="fr-CA"/>
        </w:rPr>
      </w:pPr>
      <w:bookmarkStart w:id="97" w:name="lt_pId141"/>
      <w:r w:rsidRPr="00177154">
        <w:rPr>
          <w:lang w:val="fr-CA"/>
        </w:rPr>
        <w:lastRenderedPageBreak/>
        <w:t>Quel concept décrit le mieux le comportement du professeur dans cette situation?</w:t>
      </w:r>
      <w:bookmarkEnd w:id="97"/>
    </w:p>
    <w:p w14:paraId="61AFA402" w14:textId="77777777" w:rsidR="003E7380" w:rsidRPr="00177154" w:rsidRDefault="003E7380" w:rsidP="00E30D4C">
      <w:pPr>
        <w:pStyle w:val="ListParagraph"/>
        <w:numPr>
          <w:ilvl w:val="0"/>
          <w:numId w:val="3"/>
        </w:numPr>
        <w:spacing w:before="240" w:after="0"/>
        <w:rPr>
          <w:lang w:val="fr-CA"/>
        </w:rPr>
      </w:pPr>
      <w:bookmarkStart w:id="98" w:name="lt_pId142"/>
      <w:r w:rsidRPr="00177154">
        <w:rPr>
          <w:lang w:val="fr-CA"/>
        </w:rPr>
        <w:t>Les préjugés conscients</w:t>
      </w:r>
      <w:bookmarkEnd w:id="98"/>
    </w:p>
    <w:p w14:paraId="2A33C090" w14:textId="77777777" w:rsidR="003E7380" w:rsidRPr="00177154" w:rsidRDefault="003E7380" w:rsidP="00E30D4C">
      <w:pPr>
        <w:pStyle w:val="ListParagraph"/>
        <w:numPr>
          <w:ilvl w:val="0"/>
          <w:numId w:val="3"/>
        </w:numPr>
        <w:spacing w:before="240" w:after="0"/>
        <w:rPr>
          <w:lang w:val="fr-CA"/>
        </w:rPr>
      </w:pPr>
      <w:bookmarkStart w:id="99" w:name="lt_pId143"/>
      <w:r w:rsidRPr="00177154">
        <w:rPr>
          <w:lang w:val="fr-CA"/>
        </w:rPr>
        <w:t>Les préjugés inconscients</w:t>
      </w:r>
      <w:bookmarkEnd w:id="99"/>
    </w:p>
    <w:p w14:paraId="1E6F1401" w14:textId="77777777" w:rsidR="003E7380" w:rsidRPr="00177154" w:rsidRDefault="003E7380" w:rsidP="00E30D4C">
      <w:pPr>
        <w:pStyle w:val="ListParagraph"/>
        <w:numPr>
          <w:ilvl w:val="0"/>
          <w:numId w:val="3"/>
        </w:numPr>
        <w:spacing w:before="240" w:after="0"/>
        <w:rPr>
          <w:lang w:val="fr-CA"/>
        </w:rPr>
      </w:pPr>
      <w:bookmarkStart w:id="100" w:name="lt_pId144"/>
      <w:r w:rsidRPr="00177154">
        <w:rPr>
          <w:lang w:val="fr-CA"/>
        </w:rPr>
        <w:t>Les préjugés systémiques</w:t>
      </w:r>
      <w:bookmarkEnd w:id="100"/>
    </w:p>
    <w:p w14:paraId="265F2CFA" w14:textId="77777777" w:rsidR="003E7380" w:rsidRPr="00177154" w:rsidRDefault="003E7380" w:rsidP="00E30D4C">
      <w:pPr>
        <w:pStyle w:val="ListParagraph"/>
        <w:numPr>
          <w:ilvl w:val="0"/>
          <w:numId w:val="3"/>
        </w:numPr>
        <w:spacing w:before="240" w:after="0"/>
        <w:rPr>
          <w:lang w:val="fr-CA"/>
        </w:rPr>
      </w:pPr>
      <w:bookmarkStart w:id="101" w:name="lt_pId145"/>
      <w:r w:rsidRPr="00177154">
        <w:rPr>
          <w:lang w:val="fr-CA"/>
        </w:rPr>
        <w:t>Aucune de ces réponses</w:t>
      </w:r>
      <w:bookmarkEnd w:id="101"/>
    </w:p>
    <w:p w14:paraId="2C4D38A8" w14:textId="77777777" w:rsidR="003E7380" w:rsidRPr="00177154" w:rsidRDefault="003E7380" w:rsidP="00E174E6">
      <w:pPr>
        <w:rPr>
          <w:b/>
          <w:bCs/>
          <w:lang w:val="fr-CA"/>
        </w:rPr>
      </w:pPr>
      <w:bookmarkStart w:id="102" w:name="lt_pId146"/>
      <w:r w:rsidRPr="00177154">
        <w:rPr>
          <w:b/>
          <w:bCs/>
          <w:lang w:val="fr-CA"/>
        </w:rPr>
        <w:t>Bonne réponse :</w:t>
      </w:r>
      <w:bookmarkEnd w:id="102"/>
      <w:r w:rsidRPr="00177154">
        <w:rPr>
          <w:b/>
          <w:bCs/>
          <w:lang w:val="fr-CA"/>
        </w:rPr>
        <w:t xml:space="preserve"> </w:t>
      </w:r>
    </w:p>
    <w:p w14:paraId="29834399" w14:textId="77777777" w:rsidR="003E7380" w:rsidRPr="00177154" w:rsidRDefault="003E7380" w:rsidP="00E174E6">
      <w:pPr>
        <w:rPr>
          <w:lang w:val="fr-CA"/>
        </w:rPr>
      </w:pPr>
      <w:bookmarkStart w:id="103" w:name="lt_pId147"/>
      <w:r w:rsidRPr="00177154">
        <w:rPr>
          <w:lang w:val="fr-CA"/>
        </w:rPr>
        <w:t>Bien joué</w:t>
      </w:r>
      <w:bookmarkStart w:id="104" w:name="lt_pId148"/>
      <w:bookmarkEnd w:id="103"/>
      <w:r w:rsidRPr="00177154">
        <w:rPr>
          <w:lang w:val="fr-CA"/>
        </w:rPr>
        <w:t>! La réponse correcte est A. Les préjugés conscients.</w:t>
      </w:r>
      <w:bookmarkEnd w:id="104"/>
      <w:r w:rsidRPr="00177154">
        <w:rPr>
          <w:lang w:val="fr-CA"/>
        </w:rPr>
        <w:t xml:space="preserve"> </w:t>
      </w:r>
    </w:p>
    <w:p w14:paraId="2BC511C2" w14:textId="77777777" w:rsidR="003E7380" w:rsidRPr="00177154" w:rsidRDefault="003E7380" w:rsidP="00E174E6">
      <w:pPr>
        <w:rPr>
          <w:lang w:val="fr-CA"/>
        </w:rPr>
      </w:pPr>
      <w:bookmarkStart w:id="105" w:name="lt_pId149"/>
      <w:r w:rsidRPr="00177154">
        <w:rPr>
          <w:lang w:val="fr-CA"/>
        </w:rPr>
        <w:t>Le professeur a délibérément fait une remarque désobligeante à l’égard de la chercheuse, se basant sur des suppositions concernant son expérience.</w:t>
      </w:r>
      <w:bookmarkStart w:id="106" w:name="lt_pId150"/>
      <w:bookmarkEnd w:id="105"/>
      <w:r w:rsidRPr="00177154">
        <w:rPr>
          <w:lang w:val="fr-CA"/>
        </w:rPr>
        <w:t xml:space="preserve"> Les préjugés conscients sont ceux dont les individus ont conscience, souvent issus de croyances ou de préjugés personnels. </w:t>
      </w:r>
      <w:bookmarkEnd w:id="106"/>
    </w:p>
    <w:p w14:paraId="42471CC3" w14:textId="77777777" w:rsidR="003E7380" w:rsidRPr="00177154" w:rsidRDefault="003E7380" w:rsidP="00E174E6">
      <w:pPr>
        <w:rPr>
          <w:lang w:val="fr-CA"/>
        </w:rPr>
      </w:pPr>
      <w:bookmarkStart w:id="107" w:name="lt_pId151"/>
      <w:r w:rsidRPr="00177154">
        <w:rPr>
          <w:lang w:val="fr-CA"/>
        </w:rPr>
        <w:t>Dans ce cas, la réponse du professeur démontre une décision claire et consciente de discriminer la chercheuse en fonction de sa propre perception de l’expérience et du parcours universitaire de celle-ci.</w:t>
      </w:r>
      <w:bookmarkEnd w:id="107"/>
    </w:p>
    <w:p w14:paraId="3D274426" w14:textId="77777777" w:rsidR="003E7380" w:rsidRPr="00177154" w:rsidRDefault="003E7380" w:rsidP="00E174E6">
      <w:pPr>
        <w:rPr>
          <w:lang w:val="fr-CA"/>
        </w:rPr>
      </w:pPr>
      <w:bookmarkStart w:id="108" w:name="lt_pId152"/>
      <w:r w:rsidRPr="00177154">
        <w:rPr>
          <w:lang w:val="fr-CA"/>
        </w:rPr>
        <w:t>Cliquez sur l’écran pour continuer.</w:t>
      </w:r>
      <w:bookmarkEnd w:id="108"/>
    </w:p>
    <w:p w14:paraId="266E4172" w14:textId="77777777" w:rsidR="003E7380" w:rsidRPr="00177154" w:rsidRDefault="003E7380" w:rsidP="00E174E6">
      <w:pPr>
        <w:rPr>
          <w:b/>
          <w:bCs/>
          <w:lang w:val="fr-CA"/>
        </w:rPr>
      </w:pPr>
      <w:bookmarkStart w:id="109" w:name="lt_pId153"/>
      <w:r w:rsidRPr="00177154">
        <w:rPr>
          <w:b/>
          <w:bCs/>
          <w:lang w:val="fr-CA"/>
        </w:rPr>
        <w:t xml:space="preserve">Mauvaise réponse : </w:t>
      </w:r>
      <w:bookmarkEnd w:id="109"/>
    </w:p>
    <w:p w14:paraId="6ED16B82" w14:textId="77777777" w:rsidR="003E7380" w:rsidRPr="00177154" w:rsidRDefault="003E7380" w:rsidP="00E174E6">
      <w:pPr>
        <w:rPr>
          <w:lang w:val="fr-CA"/>
        </w:rPr>
      </w:pPr>
      <w:bookmarkStart w:id="110" w:name="lt_pId154"/>
      <w:r w:rsidRPr="00177154">
        <w:rPr>
          <w:lang w:val="fr-CA"/>
        </w:rPr>
        <w:t>Bel effort</w:t>
      </w:r>
      <w:bookmarkStart w:id="111" w:name="lt_pId155"/>
      <w:bookmarkEnd w:id="110"/>
      <w:r w:rsidRPr="00177154">
        <w:rPr>
          <w:lang w:val="fr-CA"/>
        </w:rPr>
        <w:t>! Cependant, revoyons les options et le scénario.</w:t>
      </w:r>
      <w:bookmarkEnd w:id="111"/>
      <w:r w:rsidRPr="00177154">
        <w:rPr>
          <w:lang w:val="fr-CA"/>
        </w:rPr>
        <w:t xml:space="preserve"> </w:t>
      </w:r>
    </w:p>
    <w:p w14:paraId="731643CC" w14:textId="77777777" w:rsidR="003E7380" w:rsidRPr="00177154" w:rsidRDefault="003E7380" w:rsidP="00E174E6">
      <w:pPr>
        <w:rPr>
          <w:lang w:val="fr-CA"/>
        </w:rPr>
      </w:pPr>
      <w:bookmarkStart w:id="112" w:name="lt_pId156"/>
      <w:r w:rsidRPr="00177154">
        <w:rPr>
          <w:lang w:val="fr-CA"/>
        </w:rPr>
        <w:t>Dans le scénario, la réaction délibérée et manifeste du professeur, marquée par un sourire narquois et une remarque de mauvais goût, suggère une conscience de ses préjugés plutôt qu’une prédisposition inconsciente.</w:t>
      </w:r>
      <w:bookmarkEnd w:id="112"/>
      <w:r w:rsidRPr="00177154">
        <w:rPr>
          <w:lang w:val="fr-CA"/>
        </w:rPr>
        <w:t xml:space="preserve"> </w:t>
      </w:r>
    </w:p>
    <w:p w14:paraId="3833E6C4" w14:textId="77777777" w:rsidR="003E7380" w:rsidRPr="00177154" w:rsidRDefault="003E7380" w:rsidP="00E174E6">
      <w:pPr>
        <w:rPr>
          <w:lang w:val="fr-CA"/>
        </w:rPr>
      </w:pPr>
      <w:bookmarkStart w:id="113" w:name="lt_pId157"/>
      <w:r w:rsidRPr="00177154">
        <w:rPr>
          <w:lang w:val="fr-CA"/>
        </w:rPr>
        <w:t xml:space="preserve">Bien que les préjugés systémiques puissent influencer les comportements individuels, le scénario se concentre principalement sur l’interaction directe et personnelle entre le professeur et la chercheuse, ce qui le rend plus révélateur d’un préjugé personnel que d’un préjugé systémique. </w:t>
      </w:r>
      <w:bookmarkStart w:id="114" w:name="lt_pId158"/>
      <w:bookmarkEnd w:id="113"/>
      <w:r w:rsidRPr="00177154">
        <w:rPr>
          <w:lang w:val="fr-CA"/>
        </w:rPr>
        <w:t>Par conséquent, la bonne réponse est : A. Préjugé conscient.</w:t>
      </w:r>
      <w:bookmarkEnd w:id="114"/>
    </w:p>
    <w:p w14:paraId="3A28B835" w14:textId="77777777" w:rsidR="003E7380" w:rsidRPr="00177154" w:rsidRDefault="003E7380" w:rsidP="00E174E6">
      <w:pPr>
        <w:rPr>
          <w:lang w:val="fr-CA"/>
        </w:rPr>
      </w:pPr>
      <w:bookmarkStart w:id="115" w:name="lt_pId159"/>
      <w:r w:rsidRPr="00177154">
        <w:rPr>
          <w:lang w:val="fr-CA"/>
        </w:rPr>
        <w:t>Cliquez sur l’écran pour continuer.</w:t>
      </w:r>
      <w:bookmarkEnd w:id="115"/>
    </w:p>
    <w:p w14:paraId="5E83796E" w14:textId="77777777" w:rsidR="006E2D20" w:rsidRPr="00177154" w:rsidRDefault="006E2D20" w:rsidP="006E2D20">
      <w:pPr>
        <w:pStyle w:val="Heading1"/>
        <w:rPr>
          <w:lang w:val="fr-CA"/>
        </w:rPr>
      </w:pPr>
      <w:bookmarkStart w:id="116" w:name="lt_pId164"/>
      <w:r w:rsidRPr="00177154">
        <w:rPr>
          <w:lang w:val="fr-CA"/>
        </w:rPr>
        <w:t>Objectif 2</w:t>
      </w:r>
    </w:p>
    <w:p w14:paraId="088B0D2A" w14:textId="4060D977" w:rsidR="003E7380" w:rsidRPr="00177154" w:rsidRDefault="003E7380" w:rsidP="006E2D20">
      <w:pPr>
        <w:rPr>
          <w:szCs w:val="22"/>
          <w:shd w:val="clear" w:color="auto" w:fill="FFFFFF"/>
          <w:lang w:val="fr-CA"/>
        </w:rPr>
      </w:pPr>
      <w:r w:rsidRPr="00177154">
        <w:rPr>
          <w:lang w:val="fr-CA"/>
        </w:rPr>
        <w:t>Pourquoi faut-il se sensibiliser aux préjugés?</w:t>
      </w:r>
      <w:bookmarkEnd w:id="116"/>
    </w:p>
    <w:p w14:paraId="5984AEAA" w14:textId="77777777" w:rsidR="003E7380" w:rsidRPr="00177154" w:rsidRDefault="003E7380" w:rsidP="006E2D20">
      <w:pPr>
        <w:pStyle w:val="Heading1"/>
        <w:rPr>
          <w:lang w:val="fr-CA"/>
        </w:rPr>
      </w:pPr>
      <w:bookmarkStart w:id="117" w:name="lt_pId166"/>
      <w:r w:rsidRPr="00177154">
        <w:rPr>
          <w:lang w:val="fr-CA"/>
        </w:rPr>
        <w:lastRenderedPageBreak/>
        <w:t>Les préjugés influencent la vie des gens</w:t>
      </w:r>
      <w:bookmarkEnd w:id="117"/>
    </w:p>
    <w:p w14:paraId="7631C9BC" w14:textId="01BAA774" w:rsidR="003E7380" w:rsidRPr="00177154" w:rsidRDefault="003E7380" w:rsidP="00E174E6">
      <w:pPr>
        <w:rPr>
          <w:b/>
          <w:bCs/>
          <w:szCs w:val="22"/>
          <w:lang w:val="fr-CA"/>
        </w:rPr>
      </w:pPr>
      <w:bookmarkStart w:id="118" w:name="lt_pId167"/>
      <w:r w:rsidRPr="00177154">
        <w:rPr>
          <w:lang w:val="fr-CA"/>
        </w:rPr>
        <w:t xml:space="preserve">Les préjugés peuvent avoir une incidence sur tous les aspects du monde de la recherche, des opportunités d’emploi à l’évaluation par les pairs, en passant par les chances de publication. </w:t>
      </w:r>
      <w:bookmarkStart w:id="119" w:name="lt_pId168"/>
      <w:bookmarkEnd w:id="118"/>
      <w:r w:rsidRPr="00177154">
        <w:rPr>
          <w:lang w:val="fr-CA"/>
        </w:rPr>
        <w:t xml:space="preserve">Certaines personnes bénéficient de plus de financement, de citations et de promotions, en partie à cause des préjugés. </w:t>
      </w:r>
      <w:bookmarkStart w:id="120" w:name="lt_pId169"/>
      <w:bookmarkEnd w:id="119"/>
      <w:r w:rsidRPr="00177154">
        <w:rPr>
          <w:lang w:val="fr-CA"/>
        </w:rPr>
        <w:t xml:space="preserve">Cela confère un avantage aux équipes de recherche en quête d’un financement supplémentaire par rapport aux nouvelles équipes et aux nouvelles idées; un phénomène </w:t>
      </w:r>
      <w:r w:rsidR="00201B46" w:rsidRPr="00177154">
        <w:rPr>
          <w:lang w:val="fr-CA"/>
        </w:rPr>
        <w:t xml:space="preserve">appelé </w:t>
      </w:r>
      <w:hyperlink r:id="rId27" w:anchor="a10" w:history="1">
        <w:r w:rsidR="00201B46" w:rsidRPr="00177154">
          <w:rPr>
            <w:rStyle w:val="Hyperlink"/>
            <w:lang w:val="fr-CA"/>
          </w:rPr>
          <w:t>l’effet Matthieu</w:t>
        </w:r>
      </w:hyperlink>
      <w:r w:rsidRPr="00177154">
        <w:rPr>
          <w:lang w:val="fr-CA"/>
        </w:rPr>
        <w:t xml:space="preserve">. </w:t>
      </w:r>
      <w:bookmarkStart w:id="121" w:name="lt_pId170"/>
      <w:bookmarkEnd w:id="120"/>
      <w:r w:rsidRPr="00177154">
        <w:rPr>
          <w:lang w:val="fr-CA"/>
        </w:rPr>
        <w:t xml:space="preserve">Ces préjugés sous-jacents entravent le progrès et l’innovation dans la recherche. </w:t>
      </w:r>
      <w:bookmarkStart w:id="122" w:name="lt_pId171"/>
      <w:bookmarkEnd w:id="121"/>
      <w:r w:rsidRPr="00177154">
        <w:rPr>
          <w:lang w:val="fr-CA"/>
        </w:rPr>
        <w:t>En s’attaquant aux préjugés de manière globale, les trois organismes peuvent mieux remplir leur mission qui consiste à stimuler l’innovation et à générer des connaissances qui profitent à la société.</w:t>
      </w:r>
      <w:bookmarkEnd w:id="122"/>
    </w:p>
    <w:p w14:paraId="6F152788" w14:textId="703B4F14" w:rsidR="003E7380" w:rsidRPr="00177154" w:rsidRDefault="003E7380" w:rsidP="006E2D20">
      <w:pPr>
        <w:pStyle w:val="Heading1"/>
        <w:rPr>
          <w:lang w:val="fr-CA"/>
        </w:rPr>
      </w:pPr>
      <w:bookmarkStart w:id="123" w:name="lt_pId173"/>
      <w:r w:rsidRPr="00177154">
        <w:rPr>
          <w:lang w:val="fr-CA"/>
        </w:rPr>
        <w:t>Les préjugés peuvent être intersectionnels</w:t>
      </w:r>
      <w:bookmarkEnd w:id="123"/>
      <w:r w:rsidR="006E2D20" w:rsidRPr="00177154">
        <w:rPr>
          <w:lang w:val="fr-CA"/>
        </w:rPr>
        <w:t xml:space="preserve"> 1</w:t>
      </w:r>
    </w:p>
    <w:p w14:paraId="02AD3BCA" w14:textId="5B7E99F9" w:rsidR="003E7380" w:rsidRPr="00177154" w:rsidRDefault="003E7380" w:rsidP="00E174E6">
      <w:pPr>
        <w:rPr>
          <w:lang w:val="fr-CA"/>
        </w:rPr>
      </w:pPr>
      <w:bookmarkStart w:id="124" w:name="lt_pId174"/>
      <w:r w:rsidRPr="00177154">
        <w:rPr>
          <w:rStyle w:val="eop"/>
          <w:rFonts w:cs="Calibri"/>
          <w:color w:val="000000"/>
          <w:shd w:val="clear" w:color="auto" w:fill="FFFFFF"/>
          <w:lang w:val="fr-CA"/>
        </w:rPr>
        <w:t xml:space="preserve">La </w:t>
      </w:r>
      <w:r w:rsidR="003E0011" w:rsidRPr="00177154">
        <w:rPr>
          <w:rStyle w:val="eop"/>
          <w:rFonts w:cs="Calibri"/>
          <w:color w:val="000000"/>
          <w:shd w:val="clear" w:color="auto" w:fill="FFFFFF"/>
          <w:lang w:val="fr-CA"/>
        </w:rPr>
        <w:t xml:space="preserve">notion </w:t>
      </w:r>
      <w:hyperlink r:id="rId28" w:anchor="a22" w:history="1">
        <w:r w:rsidR="003E0011" w:rsidRPr="00177154">
          <w:rPr>
            <w:rStyle w:val="Hyperlink"/>
            <w:rFonts w:cs="Calibri"/>
            <w:shd w:val="clear" w:color="auto" w:fill="FFFFFF"/>
            <w:lang w:val="fr-CA"/>
          </w:rPr>
          <w:t>d’intersectionnalité</w:t>
        </w:r>
      </w:hyperlink>
      <w:r w:rsidR="003E0011" w:rsidRPr="00177154">
        <w:rPr>
          <w:rStyle w:val="eop"/>
          <w:rFonts w:cs="Calibri"/>
          <w:color w:val="000000"/>
          <w:shd w:val="clear" w:color="auto" w:fill="FFFFFF"/>
          <w:lang w:val="fr-CA"/>
        </w:rPr>
        <w:t xml:space="preserve"> renvoie </w:t>
      </w:r>
      <w:r w:rsidRPr="00177154">
        <w:rPr>
          <w:rStyle w:val="eop"/>
          <w:rFonts w:cs="Calibri"/>
          <w:color w:val="000000"/>
          <w:shd w:val="clear" w:color="auto" w:fill="FFFFFF"/>
          <w:lang w:val="fr-CA"/>
        </w:rPr>
        <w:t xml:space="preserve">à des circonstances particulières qui découlent d’une exposition simultanée à de multiples préjugés. </w:t>
      </w:r>
      <w:bookmarkStart w:id="125" w:name="lt_pId175"/>
      <w:bookmarkEnd w:id="124"/>
      <w:r w:rsidRPr="00177154">
        <w:rPr>
          <w:rStyle w:val="eop"/>
          <w:rFonts w:cs="Calibri"/>
          <w:color w:val="000000"/>
          <w:shd w:val="clear" w:color="auto" w:fill="FFFFFF"/>
          <w:lang w:val="fr-CA"/>
        </w:rPr>
        <w:t>C’est un concept que la professeure Kimberlé Crenshaw a amené</w:t>
      </w:r>
      <w:r w:rsidR="00A734C2">
        <w:rPr>
          <w:rStyle w:val="eop"/>
          <w:rFonts w:cs="Calibri"/>
          <w:color w:val="000000"/>
          <w:shd w:val="clear" w:color="auto" w:fill="FFFFFF"/>
          <w:lang w:val="fr-CA"/>
        </w:rPr>
        <w:t xml:space="preserve">, puis qui a été enrichi par d’autres chercheurs </w:t>
      </w:r>
      <w:r w:rsidRPr="00177154">
        <w:rPr>
          <w:rStyle w:val="eop"/>
          <w:rFonts w:cs="Calibri"/>
          <w:color w:val="000000"/>
          <w:shd w:val="clear" w:color="auto" w:fill="FFFFFF"/>
          <w:lang w:val="fr-CA"/>
        </w:rPr>
        <w:t xml:space="preserve">féministes. </w:t>
      </w:r>
      <w:bookmarkStart w:id="126" w:name="lt_pId176"/>
      <w:bookmarkEnd w:id="125"/>
      <w:r w:rsidRPr="00177154">
        <w:rPr>
          <w:rStyle w:val="eop"/>
          <w:rFonts w:cs="Calibri"/>
          <w:color w:val="000000"/>
          <w:shd w:val="clear" w:color="auto" w:fill="FFFFFF"/>
          <w:lang w:val="fr-CA"/>
        </w:rPr>
        <w:t>Comprendre l’intersectionnalité aide à saisir l’incidence des préjugés dans le milieu de la recherche.</w:t>
      </w:r>
      <w:bookmarkEnd w:id="126"/>
      <w:r w:rsidRPr="00177154">
        <w:rPr>
          <w:rStyle w:val="eop"/>
          <w:rFonts w:cs="Calibri"/>
          <w:color w:val="000000"/>
          <w:shd w:val="clear" w:color="auto" w:fill="FFFFFF"/>
          <w:lang w:val="fr-CA"/>
        </w:rPr>
        <w:t xml:space="preserve"> </w:t>
      </w:r>
    </w:p>
    <w:p w14:paraId="4ADB5E6B" w14:textId="494BFCED" w:rsidR="003E7380" w:rsidRPr="00177154" w:rsidRDefault="003E7380" w:rsidP="006E2D20">
      <w:pPr>
        <w:pStyle w:val="Heading1"/>
        <w:rPr>
          <w:rStyle w:val="Strong"/>
          <w:b/>
          <w:bCs/>
          <w:lang w:val="fr-CA"/>
        </w:rPr>
      </w:pPr>
      <w:bookmarkStart w:id="127" w:name="lt_pId178"/>
      <w:r w:rsidRPr="00177154">
        <w:rPr>
          <w:rStyle w:val="Strong"/>
          <w:b/>
          <w:bCs/>
          <w:lang w:val="fr-CA"/>
        </w:rPr>
        <w:t>Les préjugés peuvent être intersectionnels</w:t>
      </w:r>
      <w:bookmarkEnd w:id="127"/>
      <w:r w:rsidR="006E2D20" w:rsidRPr="00177154">
        <w:rPr>
          <w:rStyle w:val="Strong"/>
          <w:b/>
          <w:bCs/>
          <w:lang w:val="fr-CA"/>
        </w:rPr>
        <w:t xml:space="preserve"> 2</w:t>
      </w:r>
    </w:p>
    <w:p w14:paraId="03D121A6" w14:textId="75007D55" w:rsidR="003E7380" w:rsidRPr="00177154" w:rsidRDefault="003E7380" w:rsidP="00E174E6">
      <w:pPr>
        <w:rPr>
          <w:szCs w:val="22"/>
          <w:lang w:val="fr-CA"/>
        </w:rPr>
      </w:pPr>
      <w:bookmarkStart w:id="128" w:name="lt_pId179"/>
      <w:r w:rsidRPr="00177154">
        <w:rPr>
          <w:rStyle w:val="eop"/>
          <w:rFonts w:cs="Calibri"/>
          <w:color w:val="000000"/>
          <w:shd w:val="clear" w:color="auto" w:fill="FFFFFF"/>
          <w:lang w:val="fr-CA"/>
        </w:rPr>
        <w:t>La</w:t>
      </w:r>
      <w:r w:rsidRPr="0022668D">
        <w:rPr>
          <w:rStyle w:val="eop"/>
          <w:rFonts w:cs="Calibri"/>
          <w:color w:val="000000"/>
          <w:shd w:val="clear" w:color="auto" w:fill="FFFFFF"/>
          <w:lang w:val="fr-CA"/>
        </w:rPr>
        <w:t xml:space="preserve"> </w:t>
      </w:r>
      <w:hyperlink r:id="rId29" w:anchor="a7" w:history="1">
        <w:r w:rsidRPr="0022668D">
          <w:rPr>
            <w:rStyle w:val="Hyperlink"/>
            <w:rFonts w:cs="Calibri"/>
            <w:shd w:val="clear" w:color="auto" w:fill="FFFFFF"/>
            <w:lang w:val="fr-CA"/>
          </w:rPr>
          <w:t>discrimination</w:t>
        </w:r>
      </w:hyperlink>
      <w:r w:rsidRPr="00177154">
        <w:rPr>
          <w:rStyle w:val="eop"/>
          <w:rFonts w:cs="Calibri"/>
          <w:color w:val="000000"/>
          <w:shd w:val="clear" w:color="auto" w:fill="FFFFFF"/>
          <w:lang w:val="fr-CA"/>
        </w:rPr>
        <w:t xml:space="preserve"> peut se manifester dans différentes directions. </w:t>
      </w:r>
      <w:bookmarkStart w:id="129" w:name="lt_pId180"/>
      <w:bookmarkEnd w:id="128"/>
      <w:r w:rsidRPr="00177154">
        <w:rPr>
          <w:rStyle w:val="eop"/>
          <w:rFonts w:cs="Calibri"/>
          <w:color w:val="000000"/>
          <w:shd w:val="clear" w:color="auto" w:fill="FFFFFF"/>
          <w:lang w:val="fr-CA"/>
        </w:rPr>
        <w:t xml:space="preserve">Une personne peut être victime de marginalisation en raison d’un aspect, mais bénéficier </w:t>
      </w:r>
      <w:r w:rsidR="00AB60CC" w:rsidRPr="00177154">
        <w:rPr>
          <w:rStyle w:val="eop"/>
          <w:rFonts w:cs="Calibri"/>
          <w:color w:val="000000"/>
          <w:shd w:val="clear" w:color="auto" w:fill="FFFFFF"/>
          <w:lang w:val="fr-CA"/>
        </w:rPr>
        <w:t xml:space="preserve">de </w:t>
      </w:r>
      <w:hyperlink r:id="rId30" w:anchor="a39" w:history="1">
        <w:r w:rsidR="00AB60CC" w:rsidRPr="00177154">
          <w:rPr>
            <w:rStyle w:val="Hyperlink"/>
            <w:rFonts w:cs="Calibri"/>
            <w:shd w:val="clear" w:color="auto" w:fill="FFFFFF"/>
            <w:lang w:val="fr-CA"/>
          </w:rPr>
          <w:t>privilèges</w:t>
        </w:r>
      </w:hyperlink>
      <w:r w:rsidR="00AB60CC" w:rsidRPr="00177154">
        <w:rPr>
          <w:rStyle w:val="eop"/>
          <w:rFonts w:cs="Calibri"/>
          <w:color w:val="000000"/>
          <w:shd w:val="clear" w:color="auto" w:fill="FFFFFF"/>
          <w:lang w:val="fr-CA"/>
        </w:rPr>
        <w:t xml:space="preserve"> en raison </w:t>
      </w:r>
      <w:r w:rsidRPr="00177154">
        <w:rPr>
          <w:rStyle w:val="eop"/>
          <w:rFonts w:cs="Calibri"/>
          <w:color w:val="000000"/>
          <w:shd w:val="clear" w:color="auto" w:fill="FFFFFF"/>
          <w:lang w:val="fr-CA"/>
        </w:rPr>
        <w:t xml:space="preserve">d’un autre. </w:t>
      </w:r>
      <w:bookmarkStart w:id="130" w:name="lt_pId181"/>
      <w:bookmarkEnd w:id="129"/>
      <w:r w:rsidRPr="00177154">
        <w:rPr>
          <w:rStyle w:val="eop"/>
          <w:rFonts w:cs="Calibri"/>
          <w:color w:val="000000"/>
          <w:shd w:val="clear" w:color="auto" w:fill="FFFFFF"/>
          <w:lang w:val="fr-CA"/>
        </w:rPr>
        <w:t>Par exemple, dans l’évaluation des personnes étudiantes, les hommes racisés sont souvent considérés comme ayant plus d’autorité que les femmes racisées, mais moins d’autorité que les hommes blancs.</w:t>
      </w:r>
      <w:bookmarkEnd w:id="130"/>
      <w:r w:rsidRPr="00177154">
        <w:rPr>
          <w:rStyle w:val="eop"/>
          <w:rFonts w:cs="Calibri"/>
          <w:color w:val="000000"/>
          <w:shd w:val="clear" w:color="auto" w:fill="FFFFFF"/>
          <w:lang w:val="fr-CA"/>
        </w:rPr>
        <w:t xml:space="preserve"> </w:t>
      </w:r>
      <w:bookmarkStart w:id="131" w:name="lt_pId182"/>
      <w:r w:rsidRPr="00177154">
        <w:rPr>
          <w:rStyle w:val="eop"/>
          <w:rFonts w:cs="Calibri"/>
          <w:color w:val="000000"/>
          <w:shd w:val="clear" w:color="auto" w:fill="FFFFFF"/>
          <w:lang w:val="fr-CA"/>
        </w:rPr>
        <w:t>Les comités d’évaluation doivent réfléchir à la manière dont les préjugés liés au chevauchement des identités peuvent opérer.</w:t>
      </w:r>
      <w:bookmarkEnd w:id="131"/>
    </w:p>
    <w:p w14:paraId="09049940" w14:textId="77777777" w:rsidR="003E7380" w:rsidRPr="00177154" w:rsidRDefault="003E7380" w:rsidP="006E2D20">
      <w:pPr>
        <w:pStyle w:val="Heading1"/>
        <w:rPr>
          <w:lang w:val="fr-CA"/>
        </w:rPr>
      </w:pPr>
      <w:bookmarkStart w:id="132" w:name="lt_pId184"/>
      <w:r w:rsidRPr="00177154">
        <w:rPr>
          <w:lang w:val="fr-CA"/>
        </w:rPr>
        <w:t>Déclaration de San Francisco sur l’évaluation de la recherche (DORA)</w:t>
      </w:r>
      <w:bookmarkEnd w:id="132"/>
    </w:p>
    <w:p w14:paraId="639A9F8C" w14:textId="6E28CE97" w:rsidR="003E7380" w:rsidRPr="00177154" w:rsidRDefault="003E7380" w:rsidP="00E174E6">
      <w:pPr>
        <w:rPr>
          <w:lang w:val="fr-CA"/>
        </w:rPr>
      </w:pPr>
      <w:bookmarkStart w:id="133" w:name="lt_pId185"/>
      <w:r w:rsidRPr="00177154">
        <w:rPr>
          <w:lang w:val="fr-CA"/>
        </w:rPr>
        <w:t xml:space="preserve">Reconnaissant l’existence de préjugés pouvant influencer l’évaluation par les pairs, les trois organismes fédéraux de financement de la recherche ont signé la DORA. </w:t>
      </w:r>
      <w:bookmarkStart w:id="134" w:name="lt_pId186"/>
      <w:bookmarkEnd w:id="133"/>
      <w:r w:rsidRPr="00177154">
        <w:rPr>
          <w:lang w:val="fr-CA"/>
        </w:rPr>
        <w:t xml:space="preserve">Cliquez sur le bouton à l’écran pour vous renseigner sur la DORA. </w:t>
      </w:r>
      <w:bookmarkStart w:id="135" w:name="lt_pId187"/>
      <w:bookmarkEnd w:id="134"/>
      <w:r w:rsidRPr="00177154">
        <w:rPr>
          <w:lang w:val="fr-CA"/>
        </w:rPr>
        <w:t>Les organismes signataires de cette déclaration se sont engagés à soutenir l’établissement et la promotion de pratiques exemplaires en évaluation de la recherche.</w:t>
      </w:r>
      <w:bookmarkEnd w:id="135"/>
    </w:p>
    <w:p w14:paraId="3DE7B66B" w14:textId="77777777" w:rsidR="003E7380" w:rsidRPr="00177154" w:rsidRDefault="003E7380" w:rsidP="00E174E6">
      <w:pPr>
        <w:rPr>
          <w:szCs w:val="22"/>
          <w:lang w:val="fr-CA"/>
        </w:rPr>
      </w:pPr>
      <w:hyperlink r:id="rId31" w:history="1">
        <w:r w:rsidRPr="00177154">
          <w:rPr>
            <w:rStyle w:val="Hyperlink"/>
            <w:lang w:val="fr-CA"/>
          </w:rPr>
          <w:t>Se renseigner sur la DORA</w:t>
        </w:r>
      </w:hyperlink>
    </w:p>
    <w:p w14:paraId="65EE3BCB" w14:textId="77777777" w:rsidR="006E2D20" w:rsidRPr="00177154" w:rsidRDefault="006E2D20" w:rsidP="006E2D20">
      <w:pPr>
        <w:pStyle w:val="Heading1"/>
        <w:rPr>
          <w:lang w:val="fr-CA"/>
        </w:rPr>
      </w:pPr>
      <w:bookmarkStart w:id="136" w:name="lt_pId190"/>
      <w:r w:rsidRPr="00177154">
        <w:rPr>
          <w:lang w:val="fr-CA"/>
        </w:rPr>
        <w:t>Objectifs 3 et 4</w:t>
      </w:r>
    </w:p>
    <w:p w14:paraId="7D4E0AAC" w14:textId="2F40D9BF" w:rsidR="003E7380" w:rsidRPr="00177154" w:rsidRDefault="003E7380" w:rsidP="006E2D20">
      <w:pPr>
        <w:rPr>
          <w:szCs w:val="22"/>
          <w:lang w:val="fr-CA"/>
        </w:rPr>
      </w:pPr>
      <w:r w:rsidRPr="00177154">
        <w:rPr>
          <w:lang w:val="fr-CA"/>
        </w:rPr>
        <w:t>Les préjugés dans l’écosystème de recherche</w:t>
      </w:r>
      <w:bookmarkEnd w:id="136"/>
    </w:p>
    <w:p w14:paraId="35FC6697" w14:textId="77777777" w:rsidR="003E7380" w:rsidRPr="00177154" w:rsidRDefault="003E7380" w:rsidP="006754DA">
      <w:pPr>
        <w:pStyle w:val="Heading1"/>
        <w:rPr>
          <w:rStyle w:val="Strong"/>
          <w:b/>
          <w:bCs/>
          <w:lang w:val="fr-CA"/>
        </w:rPr>
      </w:pPr>
      <w:bookmarkStart w:id="137" w:name="lt_pId192"/>
      <w:r w:rsidRPr="00177154">
        <w:rPr>
          <w:rStyle w:val="Strong"/>
          <w:b/>
          <w:bCs/>
          <w:lang w:val="fr-CA"/>
        </w:rPr>
        <w:t>Les différents types de préjugés dans l’évaluation par les pairs et l’évaluation du mérite</w:t>
      </w:r>
      <w:bookmarkEnd w:id="137"/>
      <w:r w:rsidRPr="00177154">
        <w:rPr>
          <w:rStyle w:val="Strong"/>
          <w:b/>
          <w:bCs/>
          <w:lang w:val="fr-CA"/>
        </w:rPr>
        <w:t xml:space="preserve"> </w:t>
      </w:r>
    </w:p>
    <w:p w14:paraId="2EF87D4F" w14:textId="49A5847C" w:rsidR="003E7380" w:rsidRPr="00177154" w:rsidRDefault="003E7380" w:rsidP="00E174E6">
      <w:pPr>
        <w:rPr>
          <w:rStyle w:val="normaltextrun"/>
          <w:rFonts w:cs="Calibri"/>
          <w:color w:val="000000"/>
          <w:shd w:val="clear" w:color="auto" w:fill="FFFFFF"/>
          <w:lang w:val="fr-CA"/>
        </w:rPr>
      </w:pPr>
      <w:bookmarkStart w:id="138" w:name="lt_pId193"/>
      <w:r w:rsidRPr="00177154">
        <w:rPr>
          <w:rStyle w:val="normaltextrun"/>
          <w:rFonts w:cs="Calibri"/>
          <w:color w:val="000000"/>
          <w:shd w:val="clear" w:color="auto" w:fill="FFFFFF"/>
          <w:lang w:val="fr-CA"/>
        </w:rPr>
        <w:t xml:space="preserve">On recense neuf types de préjugés à l’égard des chercheurs, des orientations de la recherche et </w:t>
      </w:r>
      <w:r w:rsidR="00AE040A" w:rsidRPr="00177154">
        <w:rPr>
          <w:rStyle w:val="normaltextrun"/>
          <w:rFonts w:cs="Calibri"/>
          <w:color w:val="000000"/>
          <w:shd w:val="clear" w:color="auto" w:fill="FFFFFF"/>
          <w:lang w:val="fr-CA"/>
        </w:rPr>
        <w:t xml:space="preserve">des </w:t>
      </w:r>
      <w:hyperlink r:id="rId32" w:anchor="a48" w:history="1">
        <w:r w:rsidR="00AE040A" w:rsidRPr="00177154">
          <w:rPr>
            <w:rStyle w:val="Hyperlink"/>
            <w:rFonts w:cs="Calibri"/>
            <w:shd w:val="clear" w:color="auto" w:fill="FFFFFF"/>
            <w:lang w:val="fr-CA"/>
          </w:rPr>
          <w:t>utilisateurs de la recherche</w:t>
        </w:r>
      </w:hyperlink>
      <w:r w:rsidRPr="00177154">
        <w:rPr>
          <w:rStyle w:val="normaltextrun"/>
          <w:rFonts w:cs="Calibri"/>
          <w:color w:val="000000"/>
          <w:shd w:val="clear" w:color="auto" w:fill="FFFFFF"/>
          <w:lang w:val="fr-CA"/>
        </w:rPr>
        <w:t>.</w:t>
      </w:r>
      <w:bookmarkEnd w:id="138"/>
    </w:p>
    <w:p w14:paraId="444A6FBC" w14:textId="77777777" w:rsidR="006754DA" w:rsidRPr="00177154" w:rsidRDefault="003E7380" w:rsidP="00E30D4C">
      <w:pPr>
        <w:pStyle w:val="ListParagraph"/>
        <w:numPr>
          <w:ilvl w:val="0"/>
          <w:numId w:val="6"/>
        </w:numPr>
        <w:rPr>
          <w:lang w:val="fr-CA"/>
        </w:rPr>
      </w:pPr>
      <w:bookmarkStart w:id="139" w:name="lt_pId194"/>
      <w:r w:rsidRPr="00177154">
        <w:rPr>
          <w:lang w:val="fr-CA"/>
        </w:rPr>
        <w:t>Les préjugés raciaux</w:t>
      </w:r>
      <w:bookmarkStart w:id="140" w:name="lt_pId195"/>
      <w:bookmarkEnd w:id="139"/>
    </w:p>
    <w:p w14:paraId="7C11F697" w14:textId="77777777" w:rsidR="006754DA" w:rsidRPr="00177154" w:rsidRDefault="003E7380" w:rsidP="00E30D4C">
      <w:pPr>
        <w:pStyle w:val="ListParagraph"/>
        <w:numPr>
          <w:ilvl w:val="0"/>
          <w:numId w:val="6"/>
        </w:numPr>
        <w:rPr>
          <w:lang w:val="fr-CA"/>
        </w:rPr>
      </w:pPr>
      <w:r w:rsidRPr="00177154">
        <w:rPr>
          <w:lang w:val="fr-CA"/>
        </w:rPr>
        <w:t>Les préjugés envers les peuples et communautés autochtones</w:t>
      </w:r>
      <w:bookmarkStart w:id="141" w:name="lt_pId196"/>
      <w:bookmarkEnd w:id="140"/>
    </w:p>
    <w:p w14:paraId="7365060B" w14:textId="77777777" w:rsidR="006754DA" w:rsidRPr="00177154" w:rsidRDefault="003E7380" w:rsidP="00E30D4C">
      <w:pPr>
        <w:pStyle w:val="ListParagraph"/>
        <w:numPr>
          <w:ilvl w:val="0"/>
          <w:numId w:val="6"/>
        </w:numPr>
        <w:rPr>
          <w:lang w:val="fr-CA"/>
        </w:rPr>
      </w:pPr>
      <w:r w:rsidRPr="00177154">
        <w:rPr>
          <w:lang w:val="fr-CA"/>
        </w:rPr>
        <w:t>Les préjugés liés aux handicaps</w:t>
      </w:r>
      <w:bookmarkStart w:id="142" w:name="lt_pId197"/>
      <w:bookmarkEnd w:id="141"/>
    </w:p>
    <w:p w14:paraId="505CB46A" w14:textId="77777777" w:rsidR="006754DA" w:rsidRPr="00177154" w:rsidRDefault="003E7380" w:rsidP="00E30D4C">
      <w:pPr>
        <w:pStyle w:val="ListParagraph"/>
        <w:numPr>
          <w:ilvl w:val="0"/>
          <w:numId w:val="6"/>
        </w:numPr>
        <w:rPr>
          <w:lang w:val="fr-CA"/>
        </w:rPr>
      </w:pPr>
      <w:r w:rsidRPr="00177154">
        <w:rPr>
          <w:lang w:val="fr-CA"/>
        </w:rPr>
        <w:t>Les préjugés linguistiques</w:t>
      </w:r>
      <w:bookmarkStart w:id="143" w:name="lt_pId198"/>
      <w:bookmarkEnd w:id="142"/>
    </w:p>
    <w:p w14:paraId="7D8CE1DB" w14:textId="77777777" w:rsidR="006754DA" w:rsidRPr="00177154" w:rsidRDefault="003E7380" w:rsidP="00E30D4C">
      <w:pPr>
        <w:pStyle w:val="ListParagraph"/>
        <w:numPr>
          <w:ilvl w:val="0"/>
          <w:numId w:val="6"/>
        </w:numPr>
        <w:rPr>
          <w:lang w:val="fr-CA"/>
        </w:rPr>
      </w:pPr>
      <w:r w:rsidRPr="00177154">
        <w:rPr>
          <w:lang w:val="fr-CA"/>
        </w:rPr>
        <w:t>Les préjugés liés à l’établissement</w:t>
      </w:r>
      <w:bookmarkStart w:id="144" w:name="lt_pId199"/>
      <w:bookmarkEnd w:id="143"/>
    </w:p>
    <w:p w14:paraId="09EE0824" w14:textId="77777777" w:rsidR="006754DA" w:rsidRPr="00177154" w:rsidRDefault="003E7380" w:rsidP="00E30D4C">
      <w:pPr>
        <w:pStyle w:val="ListParagraph"/>
        <w:numPr>
          <w:ilvl w:val="0"/>
          <w:numId w:val="6"/>
        </w:numPr>
        <w:rPr>
          <w:lang w:val="fr-CA"/>
        </w:rPr>
      </w:pPr>
      <w:r w:rsidRPr="00177154">
        <w:rPr>
          <w:lang w:val="fr-CA"/>
        </w:rPr>
        <w:t>Les préjugés liés à l’âge</w:t>
      </w:r>
      <w:bookmarkStart w:id="145" w:name="lt_pId200"/>
      <w:bookmarkEnd w:id="144"/>
    </w:p>
    <w:p w14:paraId="0DDD2877" w14:textId="77777777" w:rsidR="006754DA" w:rsidRPr="00177154" w:rsidRDefault="003E7380" w:rsidP="00E30D4C">
      <w:pPr>
        <w:pStyle w:val="ListParagraph"/>
        <w:numPr>
          <w:ilvl w:val="0"/>
          <w:numId w:val="6"/>
        </w:numPr>
        <w:rPr>
          <w:lang w:val="fr-CA"/>
        </w:rPr>
      </w:pPr>
      <w:r w:rsidRPr="00177154">
        <w:rPr>
          <w:lang w:val="fr-CA"/>
        </w:rPr>
        <w:t>Les préjugés liés au stade de carrière</w:t>
      </w:r>
      <w:bookmarkStart w:id="146" w:name="lt_pId201"/>
      <w:bookmarkEnd w:id="145"/>
    </w:p>
    <w:p w14:paraId="41F9DD7D" w14:textId="77777777" w:rsidR="006754DA" w:rsidRPr="00177154" w:rsidRDefault="003E7380" w:rsidP="00E30D4C">
      <w:pPr>
        <w:pStyle w:val="ListParagraph"/>
        <w:numPr>
          <w:ilvl w:val="0"/>
          <w:numId w:val="6"/>
        </w:numPr>
        <w:rPr>
          <w:lang w:val="fr-CA"/>
        </w:rPr>
      </w:pPr>
      <w:r w:rsidRPr="00177154">
        <w:rPr>
          <w:lang w:val="fr-CA"/>
        </w:rPr>
        <w:t>Les préjugés liés au genre</w:t>
      </w:r>
      <w:bookmarkStart w:id="147" w:name="lt_pId202"/>
      <w:bookmarkEnd w:id="146"/>
    </w:p>
    <w:p w14:paraId="0DEBF9FF" w14:textId="7FE6528D" w:rsidR="003E7380" w:rsidRPr="00177154" w:rsidRDefault="003E7380" w:rsidP="00E30D4C">
      <w:pPr>
        <w:pStyle w:val="ListParagraph"/>
        <w:numPr>
          <w:ilvl w:val="0"/>
          <w:numId w:val="6"/>
        </w:numPr>
        <w:rPr>
          <w:lang w:val="fr-CA"/>
        </w:rPr>
      </w:pPr>
      <w:r w:rsidRPr="00177154">
        <w:rPr>
          <w:lang w:val="fr-CA"/>
        </w:rPr>
        <w:t>Les préjugés liés à l’orientation sexuelle</w:t>
      </w:r>
      <w:bookmarkEnd w:id="147"/>
    </w:p>
    <w:p w14:paraId="79395841" w14:textId="3036E6A0" w:rsidR="003E7380" w:rsidRPr="00177154" w:rsidRDefault="00B0780D" w:rsidP="0018072E">
      <w:pPr>
        <w:pStyle w:val="Heading1"/>
        <w:rPr>
          <w:lang w:val="fr-CA"/>
        </w:rPr>
      </w:pPr>
      <w:bookmarkStart w:id="148" w:name="lt_pId205"/>
      <w:r w:rsidRPr="00177154">
        <w:rPr>
          <w:lang w:val="fr-CA"/>
        </w:rPr>
        <w:t xml:space="preserve">1. </w:t>
      </w:r>
      <w:r w:rsidR="003E7380" w:rsidRPr="00177154">
        <w:rPr>
          <w:lang w:val="fr-CA"/>
        </w:rPr>
        <w:t>Les préjugés raciaux</w:t>
      </w:r>
      <w:bookmarkEnd w:id="148"/>
      <w:r w:rsidRPr="00177154">
        <w:rPr>
          <w:lang w:val="fr-CA"/>
        </w:rPr>
        <w:t xml:space="preserve"> 1</w:t>
      </w:r>
    </w:p>
    <w:bookmarkStart w:id="149" w:name="lt_pId204"/>
    <w:bookmarkStart w:id="150" w:name="lt_pId206"/>
    <w:p w14:paraId="04F0A82E" w14:textId="77777777" w:rsidR="001B00B3" w:rsidRPr="00177154" w:rsidRDefault="001B00B3" w:rsidP="001B00B3">
      <w:pPr>
        <w:rPr>
          <w:lang w:val="fr-CA"/>
        </w:rPr>
      </w:pPr>
      <w:r w:rsidRPr="00177154">
        <w:rPr>
          <w:lang w:val="fr-CA"/>
        </w:rPr>
        <w:fldChar w:fldCharType="begin"/>
      </w:r>
      <w:r w:rsidRPr="00177154">
        <w:rPr>
          <w:lang w:val="fr-CA"/>
        </w:rPr>
        <w:instrText>HYPERLINK "https://cihr-irsc.gc.ca/f/54486.html" \l "a2"</w:instrText>
      </w:r>
      <w:r w:rsidRPr="00177154">
        <w:rPr>
          <w:lang w:val="fr-CA"/>
        </w:rPr>
      </w:r>
      <w:r w:rsidRPr="00177154">
        <w:rPr>
          <w:lang w:val="fr-CA"/>
        </w:rPr>
        <w:fldChar w:fldCharType="separate"/>
      </w:r>
      <w:r w:rsidRPr="00177154">
        <w:rPr>
          <w:rStyle w:val="Hyperlink"/>
          <w:lang w:val="fr-CA"/>
        </w:rPr>
        <w:t>Références</w:t>
      </w:r>
      <w:r w:rsidRPr="00177154">
        <w:rPr>
          <w:lang w:val="fr-CA"/>
        </w:rPr>
        <w:fldChar w:fldCharType="end"/>
      </w:r>
      <w:bookmarkEnd w:id="149"/>
    </w:p>
    <w:p w14:paraId="7953CA05" w14:textId="7FD512AB" w:rsidR="003E7380" w:rsidRPr="00177154" w:rsidRDefault="003E7380" w:rsidP="00E174E6">
      <w:pPr>
        <w:rPr>
          <w:szCs w:val="22"/>
          <w:lang w:val="fr-CA"/>
        </w:rPr>
      </w:pPr>
      <w:r w:rsidRPr="00177154">
        <w:rPr>
          <w:lang w:val="fr-CA"/>
        </w:rPr>
        <w:t>Le racisme est l’idée qu’une race, un concept social et politique basé sur la couleur ou l’ethnicité, peut être supérieure à une autre.</w:t>
      </w:r>
      <w:bookmarkEnd w:id="150"/>
      <w:r w:rsidRPr="00177154">
        <w:rPr>
          <w:lang w:val="fr-CA"/>
        </w:rPr>
        <w:t xml:space="preserve"> </w:t>
      </w:r>
      <w:bookmarkStart w:id="151" w:name="lt_pId207"/>
      <w:r w:rsidRPr="00177154">
        <w:rPr>
          <w:lang w:val="fr-CA"/>
        </w:rPr>
        <w:t xml:space="preserve">Les gestes, pratiques ou politiques racistes entraînent des croyances biaisées à l’égard des personnes. Ils peuvent conduire à un traitement inégal, voire à l’exclusion, et favorisent les inégalités. </w:t>
      </w:r>
      <w:bookmarkStart w:id="152" w:name="lt_pId208"/>
      <w:bookmarkEnd w:id="151"/>
      <w:r w:rsidR="00C37E3F" w:rsidRPr="00177154">
        <w:rPr>
          <w:lang w:val="fr-CA"/>
        </w:rPr>
        <w:t xml:space="preserve">Le racisme se manifeste sous diverses formes (p. ex. </w:t>
      </w:r>
      <w:hyperlink r:id="rId33" w:anchor="a43" w:history="1">
        <w:proofErr w:type="spellStart"/>
        <w:r w:rsidR="00C37E3F" w:rsidRPr="00177154">
          <w:rPr>
            <w:rStyle w:val="Hyperlink"/>
            <w:lang w:val="fr-CA"/>
          </w:rPr>
          <w:t>anti-noir</w:t>
        </w:r>
        <w:proofErr w:type="spellEnd"/>
      </w:hyperlink>
      <w:r w:rsidR="00C37E3F" w:rsidRPr="00177154">
        <w:rPr>
          <w:lang w:val="fr-CA"/>
        </w:rPr>
        <w:t xml:space="preserve">, </w:t>
      </w:r>
      <w:hyperlink r:id="rId34" w:anchor="a41" w:history="1">
        <w:r w:rsidR="00C37E3F" w:rsidRPr="00177154">
          <w:rPr>
            <w:rStyle w:val="Hyperlink"/>
            <w:lang w:val="fr-CA"/>
          </w:rPr>
          <w:t>anti-asiatique</w:t>
        </w:r>
      </w:hyperlink>
      <w:r w:rsidR="00C37E3F" w:rsidRPr="00177154">
        <w:rPr>
          <w:lang w:val="fr-CA"/>
        </w:rPr>
        <w:t xml:space="preserve"> ou </w:t>
      </w:r>
      <w:hyperlink r:id="rId35" w:anchor="a42" w:history="1">
        <w:r w:rsidR="00C37E3F" w:rsidRPr="00177154">
          <w:rPr>
            <w:rStyle w:val="Hyperlink"/>
            <w:lang w:val="fr-CA"/>
          </w:rPr>
          <w:t>à l’égard des Premières Nations, des Inuits et des Métis</w:t>
        </w:r>
      </w:hyperlink>
      <w:r w:rsidR="00C37E3F" w:rsidRPr="00177154">
        <w:rPr>
          <w:lang w:val="fr-CA"/>
        </w:rPr>
        <w:t>).</w:t>
      </w:r>
      <w:bookmarkEnd w:id="152"/>
      <w:r w:rsidR="00C37E3F" w:rsidRPr="00177154">
        <w:rPr>
          <w:lang w:val="fr-CA"/>
        </w:rPr>
        <w:t xml:space="preserve"> </w:t>
      </w:r>
      <w:hyperlink r:id="rId36" w:anchor="a23" w:history="1">
        <w:r w:rsidR="00C37E3F" w:rsidRPr="00177154">
          <w:rPr>
            <w:rStyle w:val="Hyperlink"/>
            <w:lang w:val="fr-CA"/>
          </w:rPr>
          <w:t>L’islamophobie</w:t>
        </w:r>
      </w:hyperlink>
      <w:r w:rsidR="00C37E3F" w:rsidRPr="00177154">
        <w:rPr>
          <w:lang w:val="fr-CA"/>
        </w:rPr>
        <w:t xml:space="preserve"> et </w:t>
      </w:r>
      <w:hyperlink r:id="rId37" w:anchor="a4" w:history="1">
        <w:r w:rsidR="00C37E3F" w:rsidRPr="00177154">
          <w:rPr>
            <w:rStyle w:val="Hyperlink"/>
            <w:lang w:val="fr-CA"/>
          </w:rPr>
          <w:t>l’antisémitisme</w:t>
        </w:r>
      </w:hyperlink>
      <w:r w:rsidR="00C37E3F" w:rsidRPr="00177154">
        <w:rPr>
          <w:lang w:val="fr-CA"/>
        </w:rPr>
        <w:t xml:space="preserve"> sont également des formes de racisme</w:t>
      </w:r>
      <w:r w:rsidRPr="00177154">
        <w:rPr>
          <w:lang w:val="fr-CA"/>
        </w:rPr>
        <w:t>.</w:t>
      </w:r>
    </w:p>
    <w:p w14:paraId="1E7A0FBD" w14:textId="572B0A82" w:rsidR="003E7380" w:rsidRPr="00177154" w:rsidRDefault="00B0780D" w:rsidP="00B0780D">
      <w:pPr>
        <w:pStyle w:val="Heading1"/>
        <w:rPr>
          <w:lang w:val="fr-CA"/>
        </w:rPr>
      </w:pPr>
      <w:bookmarkStart w:id="153" w:name="lt_pId211"/>
      <w:r w:rsidRPr="00177154">
        <w:rPr>
          <w:lang w:val="fr-CA"/>
        </w:rPr>
        <w:t xml:space="preserve">1. </w:t>
      </w:r>
      <w:r w:rsidR="003E7380" w:rsidRPr="00177154">
        <w:rPr>
          <w:lang w:val="fr-CA"/>
        </w:rPr>
        <w:t>Les préjugés raciaux</w:t>
      </w:r>
      <w:bookmarkEnd w:id="153"/>
      <w:r w:rsidRPr="00177154">
        <w:rPr>
          <w:lang w:val="fr-CA"/>
        </w:rPr>
        <w:t xml:space="preserve"> 2</w:t>
      </w:r>
    </w:p>
    <w:p w14:paraId="4E77E659" w14:textId="012FEF70" w:rsidR="003E7380" w:rsidRPr="00177154" w:rsidRDefault="003E7380" w:rsidP="00E174E6">
      <w:pPr>
        <w:rPr>
          <w:szCs w:val="22"/>
          <w:lang w:val="fr-CA"/>
        </w:rPr>
      </w:pPr>
      <w:bookmarkStart w:id="154" w:name="lt_pId212"/>
      <w:r w:rsidRPr="00177154">
        <w:rPr>
          <w:lang w:val="fr-CA"/>
        </w:rPr>
        <w:lastRenderedPageBreak/>
        <w:t xml:space="preserve">Dans le domaine de la recherche, le racisme peut nuire aux perspectives d’emploi et aux possibilités de financement, tout en imposant au personnel racisé des responsabilités supplémentaires comme le mentorat ou le travail communautaire, ce qui réduit le temps consacré à la recherche et aux demandes de financement. </w:t>
      </w:r>
      <w:bookmarkStart w:id="155" w:name="lt_pId213"/>
      <w:bookmarkEnd w:id="154"/>
      <w:r w:rsidRPr="00177154">
        <w:rPr>
          <w:lang w:val="fr-CA"/>
        </w:rPr>
        <w:t>Les personnes racisées sont souvent représentées de manière stéréotypée et les professeurs racisés sont sous-représentés dans les établissements de recherche canadiens, avec des disparités variant selon la race.</w:t>
      </w:r>
      <w:bookmarkEnd w:id="155"/>
    </w:p>
    <w:p w14:paraId="68CCC61C" w14:textId="23F46C92" w:rsidR="003E7380" w:rsidRPr="00177154" w:rsidRDefault="00B0780D" w:rsidP="00B0780D">
      <w:pPr>
        <w:pStyle w:val="Heading1"/>
        <w:rPr>
          <w:lang w:val="fr-CA"/>
        </w:rPr>
      </w:pPr>
      <w:bookmarkStart w:id="156" w:name="lt_pId215"/>
      <w:r w:rsidRPr="00177154">
        <w:rPr>
          <w:lang w:val="fr-CA"/>
        </w:rPr>
        <w:t xml:space="preserve">1. </w:t>
      </w:r>
      <w:r w:rsidR="003E7380" w:rsidRPr="00177154">
        <w:rPr>
          <w:lang w:val="fr-CA"/>
        </w:rPr>
        <w:t>Les préjugés raciaux</w:t>
      </w:r>
      <w:bookmarkEnd w:id="156"/>
      <w:r w:rsidRPr="00177154">
        <w:rPr>
          <w:lang w:val="fr-CA"/>
        </w:rPr>
        <w:t xml:space="preserve"> 3</w:t>
      </w:r>
    </w:p>
    <w:p w14:paraId="4CA7014F" w14:textId="14E887FA" w:rsidR="00FF5CF1" w:rsidRDefault="00DB278B" w:rsidP="00DB278B">
      <w:pPr>
        <w:rPr>
          <w:lang w:val="fr-CA"/>
        </w:rPr>
      </w:pPr>
      <w:bookmarkStart w:id="157" w:name="lt_pId216"/>
      <w:r w:rsidRPr="00797E24">
        <w:rPr>
          <w:lang w:val="fr-CA"/>
        </w:rPr>
        <w:t>Selon le recensement de 2016, les groupes racisés représentaient 21</w:t>
      </w:r>
      <w:r>
        <w:rPr>
          <w:lang w:val="fr-CA"/>
        </w:rPr>
        <w:t> </w:t>
      </w:r>
      <w:r w:rsidRPr="00797E24">
        <w:rPr>
          <w:lang w:val="fr-CA"/>
        </w:rPr>
        <w:t xml:space="preserve">% du personnel enseignant universitaire. </w:t>
      </w:r>
      <w:bookmarkStart w:id="158" w:name="lt_pId217"/>
      <w:r w:rsidRPr="00797E24">
        <w:rPr>
          <w:lang w:val="fr-CA"/>
        </w:rPr>
        <w:t>Ce pourcentage était similaire à leur part dans la population active totale, mais inférieur à leur représentation parmi les titulaires d</w:t>
      </w:r>
      <w:r>
        <w:rPr>
          <w:lang w:val="fr-CA"/>
        </w:rPr>
        <w:t>’</w:t>
      </w:r>
      <w:r w:rsidRPr="00797E24">
        <w:rPr>
          <w:lang w:val="fr-CA"/>
        </w:rPr>
        <w:t>un doctorat (</w:t>
      </w:r>
      <w:r w:rsidR="002325F4" w:rsidRPr="00797E24">
        <w:rPr>
          <w:lang w:val="fr-CA"/>
        </w:rPr>
        <w:t>3</w:t>
      </w:r>
      <w:r w:rsidR="002325F4">
        <w:rPr>
          <w:lang w:val="fr-CA"/>
        </w:rPr>
        <w:t>1 </w:t>
      </w:r>
      <w:r w:rsidRPr="00797E24">
        <w:rPr>
          <w:lang w:val="fr-CA"/>
        </w:rPr>
        <w:t xml:space="preserve">%). </w:t>
      </w:r>
      <w:bookmarkStart w:id="159" w:name="lt_pId218"/>
      <w:bookmarkEnd w:id="158"/>
      <w:r w:rsidRPr="00797E24">
        <w:rPr>
          <w:lang w:val="fr-CA"/>
        </w:rPr>
        <w:t xml:space="preserve">Certains groupes étaient encore moins représentés. </w:t>
      </w:r>
      <w:bookmarkStart w:id="160" w:name="lt_pId219"/>
      <w:bookmarkEnd w:id="159"/>
      <w:r w:rsidRPr="0018350E">
        <w:rPr>
          <w:lang w:val="fr-CA"/>
        </w:rPr>
        <w:t>Par exemple, le corps professoral universitaire ne comptait</w:t>
      </w:r>
      <w:r>
        <w:rPr>
          <w:lang w:val="fr-CA"/>
        </w:rPr>
        <w:t xml:space="preserve"> </w:t>
      </w:r>
      <w:r w:rsidRPr="00797E24">
        <w:rPr>
          <w:lang w:val="fr-CA"/>
        </w:rPr>
        <w:t>que 2</w:t>
      </w:r>
      <w:r>
        <w:rPr>
          <w:lang w:val="fr-CA"/>
        </w:rPr>
        <w:t> </w:t>
      </w:r>
      <w:r w:rsidRPr="00797E24">
        <w:rPr>
          <w:lang w:val="fr-CA"/>
        </w:rPr>
        <w:t>% d</w:t>
      </w:r>
      <w:r>
        <w:rPr>
          <w:lang w:val="fr-CA"/>
        </w:rPr>
        <w:t>e</w:t>
      </w:r>
      <w:r w:rsidRPr="00797E24">
        <w:rPr>
          <w:lang w:val="fr-CA"/>
        </w:rPr>
        <w:t xml:space="preserve"> </w:t>
      </w:r>
      <w:r w:rsidRPr="003B76B3">
        <w:rPr>
          <w:lang w:val="fr-CA"/>
        </w:rPr>
        <w:t>personnes noires</w:t>
      </w:r>
      <w:r w:rsidRPr="00797E24">
        <w:rPr>
          <w:lang w:val="fr-CA"/>
        </w:rPr>
        <w:t xml:space="preserve">, alors </w:t>
      </w:r>
      <w:r w:rsidRPr="00151DAD">
        <w:rPr>
          <w:lang w:val="fr-CA"/>
        </w:rPr>
        <w:t>que ces dernières</w:t>
      </w:r>
      <w:r w:rsidRPr="00151DAD" w:rsidDel="00151DAD">
        <w:rPr>
          <w:lang w:val="fr-CA"/>
        </w:rPr>
        <w:t xml:space="preserve"> </w:t>
      </w:r>
      <w:r w:rsidRPr="00797E24">
        <w:rPr>
          <w:lang w:val="fr-CA"/>
        </w:rPr>
        <w:t>représentaient 3</w:t>
      </w:r>
      <w:r>
        <w:rPr>
          <w:lang w:val="fr-CA"/>
        </w:rPr>
        <w:t> </w:t>
      </w:r>
      <w:r w:rsidRPr="00797E24">
        <w:rPr>
          <w:lang w:val="fr-CA"/>
        </w:rPr>
        <w:t>% de la population active.</w:t>
      </w:r>
      <w:bookmarkEnd w:id="160"/>
    </w:p>
    <w:p w14:paraId="029C87F5" w14:textId="602421D7" w:rsidR="003E7380" w:rsidRPr="00177154" w:rsidRDefault="00B0780D" w:rsidP="00B0780D">
      <w:pPr>
        <w:pStyle w:val="Heading1"/>
        <w:rPr>
          <w:lang w:val="fr-CA"/>
        </w:rPr>
      </w:pPr>
      <w:bookmarkStart w:id="161" w:name="lt_pId221"/>
      <w:bookmarkEnd w:id="157"/>
      <w:r w:rsidRPr="00177154">
        <w:rPr>
          <w:lang w:val="fr-CA"/>
        </w:rPr>
        <w:t xml:space="preserve">1. </w:t>
      </w:r>
      <w:r w:rsidR="003E7380" w:rsidRPr="00177154">
        <w:rPr>
          <w:lang w:val="fr-CA"/>
        </w:rPr>
        <w:t>Les préjugés raciaux</w:t>
      </w:r>
      <w:bookmarkEnd w:id="161"/>
      <w:r w:rsidRPr="00177154">
        <w:rPr>
          <w:lang w:val="fr-CA"/>
        </w:rPr>
        <w:t xml:space="preserve"> 4</w:t>
      </w:r>
    </w:p>
    <w:p w14:paraId="15C901EC" w14:textId="7262B0BF" w:rsidR="003E7380" w:rsidRPr="00177154" w:rsidRDefault="003E7380" w:rsidP="00E174E6">
      <w:pPr>
        <w:rPr>
          <w:szCs w:val="22"/>
          <w:lang w:val="fr-CA"/>
        </w:rPr>
      </w:pPr>
      <w:bookmarkStart w:id="162" w:name="lt_pId222"/>
      <w:r w:rsidRPr="00177154">
        <w:rPr>
          <w:lang w:val="fr-CA"/>
        </w:rPr>
        <w:t>Le racisme influence le financement de la recherche et les publications.</w:t>
      </w:r>
      <w:bookmarkEnd w:id="162"/>
      <w:r w:rsidRPr="00177154">
        <w:rPr>
          <w:lang w:val="fr-CA"/>
        </w:rPr>
        <w:t xml:space="preserve"> </w:t>
      </w:r>
      <w:bookmarkStart w:id="163" w:name="lt_pId223"/>
      <w:r w:rsidRPr="00177154">
        <w:rPr>
          <w:lang w:val="fr-CA"/>
        </w:rPr>
        <w:t>Les chercheurs issus de milieux racisés utilisent souvent des méthodes de recherche axées sur la communauté qui diffèrent des approches traditionnelles.</w:t>
      </w:r>
      <w:bookmarkEnd w:id="163"/>
      <w:r w:rsidRPr="00177154">
        <w:rPr>
          <w:lang w:val="fr-CA"/>
        </w:rPr>
        <w:t xml:space="preserve"> </w:t>
      </w:r>
      <w:bookmarkStart w:id="164" w:name="lt_pId224"/>
      <w:r w:rsidRPr="00177154">
        <w:rPr>
          <w:lang w:val="fr-CA"/>
        </w:rPr>
        <w:t>Cependant, les comités d’évaluation ont tendance à privilégier les méthodes familières, peut-être moins innovantes.</w:t>
      </w:r>
      <w:bookmarkEnd w:id="164"/>
      <w:r w:rsidRPr="00177154">
        <w:rPr>
          <w:lang w:val="fr-CA"/>
        </w:rPr>
        <w:t xml:space="preserve"> </w:t>
      </w:r>
      <w:bookmarkStart w:id="165" w:name="lt_pId225"/>
      <w:r w:rsidRPr="00177154">
        <w:rPr>
          <w:lang w:val="fr-CA"/>
        </w:rPr>
        <w:t>Cette préférence souligne l’importance d’intégrer les principes de la DORA dans le processus d’évaluation par les pairs afin de garantir un contexte de financement équitable.</w:t>
      </w:r>
      <w:bookmarkEnd w:id="165"/>
      <w:r w:rsidRPr="00177154">
        <w:rPr>
          <w:lang w:val="fr-CA"/>
        </w:rPr>
        <w:t xml:space="preserve"> </w:t>
      </w:r>
    </w:p>
    <w:p w14:paraId="5B5B6D29" w14:textId="5329D68E" w:rsidR="003E7380" w:rsidRPr="00177154" w:rsidRDefault="00B0780D" w:rsidP="00B0780D">
      <w:pPr>
        <w:pStyle w:val="Heading1"/>
        <w:rPr>
          <w:lang w:val="fr-CA"/>
        </w:rPr>
      </w:pPr>
      <w:bookmarkStart w:id="166" w:name="lt_pId227"/>
      <w:r w:rsidRPr="00177154">
        <w:rPr>
          <w:lang w:val="fr-CA"/>
        </w:rPr>
        <w:t xml:space="preserve">1. </w:t>
      </w:r>
      <w:r w:rsidR="003E7380" w:rsidRPr="00177154">
        <w:rPr>
          <w:lang w:val="fr-CA"/>
        </w:rPr>
        <w:t>Les préjugés raciaux</w:t>
      </w:r>
      <w:bookmarkEnd w:id="166"/>
      <w:r w:rsidRPr="00177154">
        <w:rPr>
          <w:lang w:val="fr-CA"/>
        </w:rPr>
        <w:t xml:space="preserve"> 5</w:t>
      </w:r>
    </w:p>
    <w:p w14:paraId="14453B9F" w14:textId="5426D408" w:rsidR="003E7380" w:rsidRPr="00177154" w:rsidRDefault="003E7380" w:rsidP="00E174E6">
      <w:pPr>
        <w:rPr>
          <w:lang w:val="fr-CA"/>
        </w:rPr>
      </w:pPr>
      <w:bookmarkStart w:id="167" w:name="lt_pId228"/>
      <w:r w:rsidRPr="00177154">
        <w:rPr>
          <w:lang w:val="fr-CA"/>
        </w:rPr>
        <w:t xml:space="preserve">Par exemple, les chercheurs racisés sont plus susceptibles de soumettre pour publication des articles sur des sujets moins acceptés. </w:t>
      </w:r>
      <w:bookmarkStart w:id="168" w:name="lt_pId229"/>
      <w:bookmarkEnd w:id="167"/>
      <w:r w:rsidRPr="00177154">
        <w:rPr>
          <w:lang w:val="fr-CA"/>
        </w:rPr>
        <w:t xml:space="preserve">Cliquez sur le bouton à l’écran pour voir la recherche. </w:t>
      </w:r>
      <w:bookmarkStart w:id="169" w:name="lt_pId230"/>
      <w:bookmarkEnd w:id="168"/>
      <w:r w:rsidRPr="00177154">
        <w:rPr>
          <w:lang w:val="fr-CA"/>
        </w:rPr>
        <w:t xml:space="preserve">Cela crée deux problèmes : Premièrement, cela maintient un biais dans le financement et la publication en faveur </w:t>
      </w:r>
      <w:r w:rsidR="00A050B5" w:rsidRPr="00177154">
        <w:rPr>
          <w:lang w:val="fr-CA"/>
        </w:rPr>
        <w:t xml:space="preserve">des </w:t>
      </w:r>
      <w:hyperlink r:id="rId38" w:anchor="a14" w:history="1">
        <w:r w:rsidR="00A050B5" w:rsidRPr="00177154">
          <w:rPr>
            <w:rStyle w:val="Hyperlink"/>
            <w:lang w:val="fr-CA"/>
          </w:rPr>
          <w:t>groupes dominants</w:t>
        </w:r>
      </w:hyperlink>
      <w:r w:rsidR="00A050B5" w:rsidRPr="00177154">
        <w:rPr>
          <w:lang w:val="fr-CA"/>
        </w:rPr>
        <w:t xml:space="preserve">, </w:t>
      </w:r>
      <w:r w:rsidRPr="00177154">
        <w:rPr>
          <w:lang w:val="fr-CA"/>
        </w:rPr>
        <w:t xml:space="preserve">même si leurs travaux ne sont pas aussi innovants. </w:t>
      </w:r>
      <w:bookmarkStart w:id="170" w:name="lt_pId231"/>
      <w:bookmarkEnd w:id="169"/>
      <w:r w:rsidRPr="00177154">
        <w:rPr>
          <w:lang w:val="fr-CA"/>
        </w:rPr>
        <w:t xml:space="preserve">Deuxièmement, cela rend l’obtention d’un financement plus difficile pour les chercheurs racisés. </w:t>
      </w:r>
      <w:bookmarkEnd w:id="170"/>
    </w:p>
    <w:p w14:paraId="7038295B" w14:textId="77777777" w:rsidR="003E7380" w:rsidRPr="00177154" w:rsidRDefault="003E7380" w:rsidP="00B0780D">
      <w:pPr>
        <w:pStyle w:val="Heading2"/>
        <w:rPr>
          <w:rStyle w:val="normaltextrun"/>
          <w:rFonts w:cs="Calibri"/>
          <w:b w:val="0"/>
          <w:bCs w:val="0"/>
          <w:lang w:val="fr-CA"/>
        </w:rPr>
      </w:pPr>
      <w:bookmarkStart w:id="171" w:name="lt_pId235"/>
      <w:r w:rsidRPr="00177154">
        <w:rPr>
          <w:rStyle w:val="normaltextrun"/>
          <w:rFonts w:cs="Calibri"/>
          <w:lang w:val="fr-CA"/>
        </w:rPr>
        <w:t>Recherche sur les préjugés dans l’écosystème de recherche</w:t>
      </w:r>
      <w:bookmarkEnd w:id="171"/>
    </w:p>
    <w:p w14:paraId="1A778501" w14:textId="35EDFFE8" w:rsidR="00230D8E" w:rsidRPr="00797E24" w:rsidRDefault="00230D8E" w:rsidP="00230D8E">
      <w:pPr>
        <w:rPr>
          <w:lang w:val="fr-CA"/>
        </w:rPr>
      </w:pPr>
      <w:bookmarkStart w:id="172" w:name="lt_pId236"/>
      <w:r w:rsidRPr="00797E24">
        <w:rPr>
          <w:rStyle w:val="normaltextrun"/>
          <w:rFonts w:cs="Calibri"/>
          <w:lang w:val="fr-CA"/>
        </w:rPr>
        <w:lastRenderedPageBreak/>
        <w:t>Bien que les données canadiennes soient limitées, une étude étasunienne portant sur les taux d</w:t>
      </w:r>
      <w:r>
        <w:rPr>
          <w:rStyle w:val="normaltextrun"/>
          <w:rFonts w:cs="Calibri"/>
          <w:lang w:val="fr-CA"/>
        </w:rPr>
        <w:t>’</w:t>
      </w:r>
      <w:r w:rsidRPr="00797E24">
        <w:rPr>
          <w:rStyle w:val="normaltextrun"/>
          <w:rFonts w:cs="Calibri"/>
          <w:lang w:val="fr-CA"/>
        </w:rPr>
        <w:t xml:space="preserve">attribution des bourses entre 2014 et 2016 a révélé que </w:t>
      </w:r>
      <w:r>
        <w:rPr>
          <w:rStyle w:val="normaltextrun"/>
          <w:rFonts w:cs="Calibri"/>
          <w:lang w:val="fr-CA"/>
        </w:rPr>
        <w:t>l</w:t>
      </w:r>
      <w:r w:rsidRPr="00797E24">
        <w:rPr>
          <w:lang w:val="fr-CA"/>
        </w:rPr>
        <w:t xml:space="preserve">es scientifiques </w:t>
      </w:r>
      <w:r>
        <w:rPr>
          <w:lang w:val="fr-CA"/>
        </w:rPr>
        <w:t xml:space="preserve">de race </w:t>
      </w:r>
      <w:r w:rsidRPr="00797E24">
        <w:rPr>
          <w:lang w:val="fr-CA"/>
        </w:rPr>
        <w:t>noir</w:t>
      </w:r>
      <w:r>
        <w:rPr>
          <w:lang w:val="fr-CA"/>
        </w:rPr>
        <w:t>e</w:t>
      </w:r>
      <w:r w:rsidRPr="00797E24">
        <w:rPr>
          <w:lang w:val="fr-CA"/>
        </w:rPr>
        <w:t xml:space="preserve"> </w:t>
      </w:r>
      <w:r w:rsidRPr="00775783">
        <w:rPr>
          <w:lang w:val="fr-CA"/>
        </w:rPr>
        <w:t>qui travaillent</w:t>
      </w:r>
      <w:r>
        <w:rPr>
          <w:lang w:val="fr-CA"/>
        </w:rPr>
        <w:t xml:space="preserve"> </w:t>
      </w:r>
      <w:r w:rsidRPr="00797E24">
        <w:rPr>
          <w:lang w:val="fr-CA"/>
        </w:rPr>
        <w:t xml:space="preserve">dans le domaine de la santé ont reçu des subventions importantes </w:t>
      </w:r>
      <w:r w:rsidRPr="00797E24">
        <w:rPr>
          <w:rStyle w:val="normaltextrun"/>
          <w:rFonts w:cs="Calibri"/>
          <w:lang w:val="fr-CA"/>
        </w:rPr>
        <w:t xml:space="preserve">des National Institutes of Health </w:t>
      </w:r>
      <w:r w:rsidRPr="00797E24">
        <w:rPr>
          <w:lang w:val="fr-CA"/>
        </w:rPr>
        <w:t>à un taux 55</w:t>
      </w:r>
      <w:r>
        <w:rPr>
          <w:lang w:val="fr-CA"/>
        </w:rPr>
        <w:t> </w:t>
      </w:r>
      <w:r w:rsidRPr="00797E24">
        <w:rPr>
          <w:lang w:val="fr-CA"/>
        </w:rPr>
        <w:t xml:space="preserve">% inférieur à celui des scientifiques </w:t>
      </w:r>
      <w:r w:rsidRPr="008C555F">
        <w:rPr>
          <w:lang w:val="fr-CA"/>
        </w:rPr>
        <w:t>de race blanche</w:t>
      </w:r>
      <w:r w:rsidRPr="00797E24">
        <w:rPr>
          <w:lang w:val="fr-CA"/>
        </w:rPr>
        <w:t>.</w:t>
      </w:r>
    </w:p>
    <w:p w14:paraId="0FC0BA25" w14:textId="067F42D9" w:rsidR="00AA3621" w:rsidRPr="00177154" w:rsidRDefault="002325F4" w:rsidP="00AA3621">
      <w:pPr>
        <w:rPr>
          <w:lang w:val="fr-CA"/>
        </w:rPr>
      </w:pPr>
      <w:bookmarkStart w:id="173" w:name="lt_pId242"/>
      <w:bookmarkEnd w:id="172"/>
      <w:r w:rsidRPr="00D34337">
        <w:rPr>
          <w:lang w:val="fr-CA"/>
        </w:rPr>
        <w:t xml:space="preserve">Erosheva, E. A., et al. (2020). Science </w:t>
      </w:r>
      <w:proofErr w:type="spellStart"/>
      <w:r w:rsidRPr="00D34337">
        <w:rPr>
          <w:lang w:val="fr-CA"/>
        </w:rPr>
        <w:t>Advances</w:t>
      </w:r>
      <w:proofErr w:type="spellEnd"/>
      <w:r w:rsidRPr="00D34337">
        <w:rPr>
          <w:lang w:val="fr-CA"/>
        </w:rPr>
        <w:t>, 6(23), eaaz4868</w:t>
      </w:r>
      <w:r w:rsidR="0042795B" w:rsidRPr="00177154">
        <w:rPr>
          <w:lang w:val="fr-CA"/>
        </w:rPr>
        <w:t xml:space="preserve"> (en anglais seulement)</w:t>
      </w:r>
      <w:r w:rsidR="00AA3621" w:rsidRPr="00177154">
        <w:rPr>
          <w:lang w:val="fr-CA"/>
        </w:rPr>
        <w:t>.</w:t>
      </w:r>
    </w:p>
    <w:p w14:paraId="50A377FC" w14:textId="77777777" w:rsidR="00F72F02" w:rsidRPr="00797E24" w:rsidRDefault="00F72F02" w:rsidP="00F72F02">
      <w:pPr>
        <w:rPr>
          <w:lang w:val="fr-CA"/>
        </w:rPr>
      </w:pPr>
      <w:r w:rsidRPr="00797E24">
        <w:rPr>
          <w:rStyle w:val="normaltextrun"/>
          <w:rFonts w:cs="Calibri"/>
          <w:lang w:val="fr-CA"/>
        </w:rPr>
        <w:t>Au Royaume-Uni, une étude a révélé que</w:t>
      </w:r>
      <w:r>
        <w:rPr>
          <w:rStyle w:val="normaltextrun"/>
          <w:rFonts w:cs="Calibri"/>
          <w:lang w:val="fr-CA"/>
        </w:rPr>
        <w:t xml:space="preserve"> </w:t>
      </w:r>
      <w:r w:rsidRPr="00797E24">
        <w:rPr>
          <w:lang w:val="fr-CA"/>
        </w:rPr>
        <w:t>les chercheurs issus de minorités ethniques recevaient en moyenne 65</w:t>
      </w:r>
      <w:r>
        <w:rPr>
          <w:rFonts w:ascii="Arial" w:hAnsi="Arial" w:cs="Arial"/>
          <w:lang w:val="fr-CA"/>
        </w:rPr>
        <w:t> </w:t>
      </w:r>
      <w:r>
        <w:rPr>
          <w:lang w:val="fr-CA"/>
        </w:rPr>
        <w:t>000 </w:t>
      </w:r>
      <w:r w:rsidRPr="00797E24">
        <w:rPr>
          <w:lang w:val="fr-CA"/>
        </w:rPr>
        <w:t xml:space="preserve">£ de moins en subventions que leurs collègues </w:t>
      </w:r>
      <w:r w:rsidRPr="00B328FF">
        <w:rPr>
          <w:lang w:val="fr-CA"/>
        </w:rPr>
        <w:t>de race blanche</w:t>
      </w:r>
      <w:r w:rsidRPr="00797E24">
        <w:rPr>
          <w:lang w:val="fr-CA"/>
        </w:rPr>
        <w:t xml:space="preserve">. </w:t>
      </w:r>
    </w:p>
    <w:p w14:paraId="33A9C4C5" w14:textId="5B3430F5" w:rsidR="0042795B" w:rsidRPr="00177154" w:rsidRDefault="002325F4" w:rsidP="0042795B">
      <w:pPr>
        <w:rPr>
          <w:lang w:val="fr-CA"/>
        </w:rPr>
      </w:pPr>
      <w:bookmarkStart w:id="174" w:name="lt_pId248"/>
      <w:bookmarkEnd w:id="173"/>
      <w:r w:rsidRPr="00D34337">
        <w:rPr>
          <w:lang w:val="fr-CA"/>
        </w:rPr>
        <w:t>Lia, L. Y., et al. (2020). Science in Parliament, 76(4), 17-19</w:t>
      </w:r>
      <w:r w:rsidR="0042795B" w:rsidRPr="00177154">
        <w:rPr>
          <w:lang w:val="fr-CA"/>
        </w:rPr>
        <w:t xml:space="preserve"> (en anglais seulement).</w:t>
      </w:r>
    </w:p>
    <w:p w14:paraId="5A7BE776" w14:textId="201E08DC" w:rsidR="003E7380" w:rsidRPr="00177154" w:rsidRDefault="0042795B" w:rsidP="0042795B">
      <w:pPr>
        <w:pStyle w:val="Heading1"/>
        <w:rPr>
          <w:lang w:val="fr-CA"/>
        </w:rPr>
      </w:pPr>
      <w:r w:rsidRPr="00177154">
        <w:rPr>
          <w:lang w:val="fr-CA"/>
        </w:rPr>
        <w:t xml:space="preserve">1. </w:t>
      </w:r>
      <w:r w:rsidR="003E7380" w:rsidRPr="00177154">
        <w:rPr>
          <w:lang w:val="fr-CA"/>
        </w:rPr>
        <w:t>Les préjugés raciaux</w:t>
      </w:r>
      <w:bookmarkEnd w:id="174"/>
      <w:r w:rsidRPr="00177154">
        <w:rPr>
          <w:lang w:val="fr-CA"/>
        </w:rPr>
        <w:t xml:space="preserve"> 6</w:t>
      </w:r>
    </w:p>
    <w:p w14:paraId="5E6B7906" w14:textId="57CC5329" w:rsidR="003E7380" w:rsidRPr="00177154" w:rsidRDefault="00633045" w:rsidP="00E174E6">
      <w:pPr>
        <w:rPr>
          <w:lang w:val="fr-CA"/>
        </w:rPr>
      </w:pPr>
      <w:bookmarkStart w:id="175" w:name="lt_pId249"/>
      <w:r w:rsidRPr="00633045">
        <w:rPr>
          <w:lang w:val="fr-CA"/>
        </w:rPr>
        <w:t>Ces dynamiques ont non seulement un impact sur la carrière des chercheurs racisés, mais elles affectent également la mesure dans laquelle la recherche profite à toutes les personnes qui vivent au Canada.</w:t>
      </w:r>
      <w:bookmarkEnd w:id="175"/>
    </w:p>
    <w:p w14:paraId="1EBC7447" w14:textId="07CBB0C6" w:rsidR="0042795B" w:rsidRPr="00177154" w:rsidRDefault="0042795B" w:rsidP="0042795B">
      <w:pPr>
        <w:pStyle w:val="Heading1"/>
        <w:rPr>
          <w:szCs w:val="22"/>
          <w:lang w:val="fr-CA"/>
        </w:rPr>
      </w:pPr>
      <w:r w:rsidRPr="00177154">
        <w:rPr>
          <w:lang w:val="fr-CA"/>
        </w:rPr>
        <w:t xml:space="preserve">Choix </w:t>
      </w:r>
      <w:r w:rsidR="00633045">
        <w:rPr>
          <w:lang w:val="fr-CA"/>
        </w:rPr>
        <w:t>m</w:t>
      </w:r>
      <w:r w:rsidR="00633045" w:rsidRPr="00177154">
        <w:rPr>
          <w:lang w:val="fr-CA"/>
        </w:rPr>
        <w:t xml:space="preserve">ultiple </w:t>
      </w:r>
      <w:r w:rsidRPr="00177154">
        <w:rPr>
          <w:lang w:val="fr-CA"/>
        </w:rPr>
        <w:t>3</w:t>
      </w:r>
    </w:p>
    <w:p w14:paraId="5C0ECF3E" w14:textId="77777777" w:rsidR="003E7380" w:rsidRPr="00177154" w:rsidRDefault="003E7380" w:rsidP="00E174E6">
      <w:pPr>
        <w:rPr>
          <w:lang w:val="fr-CA"/>
        </w:rPr>
      </w:pPr>
      <w:bookmarkStart w:id="176" w:name="lt_pId251"/>
      <w:r w:rsidRPr="00177154">
        <w:rPr>
          <w:lang w:val="fr-CA"/>
        </w:rPr>
        <w:t>Parmi les éléments suivants, lequel ne constitue pas un défi auquel sont confrontés les professeurs racisés dans les universités canadiennes?</w:t>
      </w:r>
      <w:bookmarkEnd w:id="176"/>
    </w:p>
    <w:p w14:paraId="3F316539" w14:textId="77777777" w:rsidR="003E7380" w:rsidRPr="00177154" w:rsidRDefault="003E7380" w:rsidP="00E30D4C">
      <w:pPr>
        <w:pStyle w:val="ListParagraph"/>
        <w:numPr>
          <w:ilvl w:val="0"/>
          <w:numId w:val="4"/>
        </w:numPr>
        <w:spacing w:before="240" w:after="0"/>
        <w:rPr>
          <w:lang w:val="fr-CA"/>
        </w:rPr>
      </w:pPr>
      <w:bookmarkStart w:id="177" w:name="lt_pId252"/>
      <w:r w:rsidRPr="00177154">
        <w:rPr>
          <w:lang w:val="fr-CA"/>
        </w:rPr>
        <w:t>Le traitement stéréotypé contribue à leur absence du campus et provoque un sentiment d’altérité ou d’isolement.</w:t>
      </w:r>
      <w:bookmarkEnd w:id="177"/>
    </w:p>
    <w:p w14:paraId="65052488" w14:textId="77777777" w:rsidR="003E7380" w:rsidRPr="00177154" w:rsidRDefault="003E7380" w:rsidP="00E30D4C">
      <w:pPr>
        <w:pStyle w:val="ListParagraph"/>
        <w:numPr>
          <w:ilvl w:val="0"/>
          <w:numId w:val="4"/>
        </w:numPr>
        <w:spacing w:before="240" w:after="0"/>
        <w:rPr>
          <w:lang w:val="fr-CA"/>
        </w:rPr>
      </w:pPr>
      <w:bookmarkStart w:id="178" w:name="lt_pId253"/>
      <w:r w:rsidRPr="00177154">
        <w:rPr>
          <w:lang w:val="fr-CA"/>
        </w:rPr>
        <w:t xml:space="preserve">Ils mènent souvent des recherches sur des sujets </w:t>
      </w:r>
      <w:proofErr w:type="gramStart"/>
      <w:r w:rsidRPr="00177154">
        <w:rPr>
          <w:lang w:val="fr-CA"/>
        </w:rPr>
        <w:t>ayant</w:t>
      </w:r>
      <w:proofErr w:type="gramEnd"/>
      <w:r w:rsidRPr="00177154">
        <w:rPr>
          <w:lang w:val="fr-CA"/>
        </w:rPr>
        <w:t xml:space="preserve"> une influence significative dans leur domaine et bénéficient d’un taux d’acceptation plus élevé lorsqu’ils publient des articles.</w:t>
      </w:r>
      <w:bookmarkEnd w:id="178"/>
    </w:p>
    <w:p w14:paraId="115753AB" w14:textId="77777777" w:rsidR="003E7380" w:rsidRPr="00177154" w:rsidRDefault="003E7380" w:rsidP="00E30D4C">
      <w:pPr>
        <w:pStyle w:val="ListParagraph"/>
        <w:numPr>
          <w:ilvl w:val="0"/>
          <w:numId w:val="4"/>
        </w:numPr>
        <w:spacing w:before="240" w:after="0"/>
        <w:rPr>
          <w:lang w:val="fr-CA"/>
        </w:rPr>
      </w:pPr>
      <w:bookmarkStart w:id="179" w:name="lt_pId254"/>
      <w:r w:rsidRPr="00177154">
        <w:rPr>
          <w:lang w:val="fr-CA"/>
        </w:rPr>
        <w:t>Ils assument généralement une charge plus lourde en matière de mentorat, de soutien aux étudiants et de promotion des liens communautaires.</w:t>
      </w:r>
      <w:bookmarkEnd w:id="179"/>
    </w:p>
    <w:p w14:paraId="5E318DED" w14:textId="77777777" w:rsidR="003E7380" w:rsidRPr="00177154" w:rsidRDefault="003E7380" w:rsidP="00E30D4C">
      <w:pPr>
        <w:pStyle w:val="ListParagraph"/>
        <w:numPr>
          <w:ilvl w:val="0"/>
          <w:numId w:val="4"/>
        </w:numPr>
        <w:spacing w:before="240" w:after="0"/>
        <w:rPr>
          <w:lang w:val="fr-CA"/>
        </w:rPr>
      </w:pPr>
      <w:bookmarkStart w:id="180" w:name="lt_pId255"/>
      <w:r w:rsidRPr="00177154">
        <w:rPr>
          <w:lang w:val="fr-CA"/>
        </w:rPr>
        <w:t>Ils sont confrontés à des obstacles au financement, car leurs recherches ne correspondent généralement pas aux programmes des membres du groupe dominant.</w:t>
      </w:r>
      <w:bookmarkEnd w:id="180"/>
    </w:p>
    <w:p w14:paraId="2E1EAFE4" w14:textId="77777777" w:rsidR="003E7380" w:rsidRPr="00177154" w:rsidRDefault="003E7380" w:rsidP="00E174E6">
      <w:pPr>
        <w:rPr>
          <w:b/>
          <w:bCs/>
          <w:lang w:val="fr-CA"/>
        </w:rPr>
      </w:pPr>
      <w:bookmarkStart w:id="181" w:name="lt_pId256"/>
      <w:r w:rsidRPr="00177154">
        <w:rPr>
          <w:b/>
          <w:bCs/>
          <w:lang w:val="fr-CA"/>
        </w:rPr>
        <w:t>Explication (bonne réponse) :</w:t>
      </w:r>
      <w:bookmarkEnd w:id="181"/>
      <w:r w:rsidRPr="00177154">
        <w:rPr>
          <w:b/>
          <w:bCs/>
          <w:lang w:val="fr-CA"/>
        </w:rPr>
        <w:t xml:space="preserve"> </w:t>
      </w:r>
    </w:p>
    <w:p w14:paraId="6A4E7BCB" w14:textId="77777777" w:rsidR="003E7380" w:rsidRPr="00177154" w:rsidRDefault="003E7380" w:rsidP="00E174E6">
      <w:pPr>
        <w:rPr>
          <w:lang w:val="fr-CA"/>
        </w:rPr>
      </w:pPr>
      <w:bookmarkStart w:id="182" w:name="lt_pId257"/>
      <w:r w:rsidRPr="00177154">
        <w:rPr>
          <w:lang w:val="fr-CA"/>
        </w:rPr>
        <w:t>Bien joué</w:t>
      </w:r>
      <w:bookmarkStart w:id="183" w:name="lt_pId258"/>
      <w:bookmarkEnd w:id="182"/>
      <w:r w:rsidRPr="00177154">
        <w:rPr>
          <w:lang w:val="fr-CA"/>
        </w:rPr>
        <w:t>! La bonne réponse est B.</w:t>
      </w:r>
      <w:bookmarkEnd w:id="183"/>
      <w:r w:rsidRPr="00177154">
        <w:rPr>
          <w:lang w:val="fr-CA"/>
        </w:rPr>
        <w:t xml:space="preserve"> </w:t>
      </w:r>
    </w:p>
    <w:p w14:paraId="5FEFFCE7" w14:textId="77777777" w:rsidR="003E7380" w:rsidRPr="00177154" w:rsidRDefault="003E7380" w:rsidP="00E174E6">
      <w:pPr>
        <w:rPr>
          <w:lang w:val="fr-CA"/>
        </w:rPr>
      </w:pPr>
      <w:bookmarkStart w:id="184" w:name="lt_pId259"/>
      <w:r w:rsidRPr="00177154">
        <w:rPr>
          <w:lang w:val="fr-CA"/>
        </w:rPr>
        <w:lastRenderedPageBreak/>
        <w:t xml:space="preserve">Les membres du corps professoral racisés ne bénéficient généralement pas de taux d’acceptation plus élevés lorsqu’ils publient des articles, même s’ils mènent des recherches sur des sujets </w:t>
      </w:r>
      <w:proofErr w:type="gramStart"/>
      <w:r w:rsidRPr="00177154">
        <w:rPr>
          <w:lang w:val="fr-CA"/>
        </w:rPr>
        <w:t>ayant</w:t>
      </w:r>
      <w:proofErr w:type="gramEnd"/>
      <w:r w:rsidRPr="00177154">
        <w:rPr>
          <w:lang w:val="fr-CA"/>
        </w:rPr>
        <w:t xml:space="preserve"> une influence significative dans leur domaine.</w:t>
      </w:r>
      <w:bookmarkEnd w:id="184"/>
    </w:p>
    <w:p w14:paraId="14C601D0" w14:textId="77777777" w:rsidR="003E7380" w:rsidRPr="00177154" w:rsidRDefault="003E7380" w:rsidP="00E174E6">
      <w:pPr>
        <w:rPr>
          <w:lang w:val="fr-CA"/>
        </w:rPr>
      </w:pPr>
      <w:bookmarkStart w:id="185" w:name="lt_pId260"/>
      <w:r w:rsidRPr="00177154">
        <w:rPr>
          <w:lang w:val="fr-CA"/>
        </w:rPr>
        <w:t>Cliquez sur l’écran pour continuer.</w:t>
      </w:r>
      <w:bookmarkEnd w:id="185"/>
    </w:p>
    <w:p w14:paraId="0B403E84" w14:textId="77777777" w:rsidR="003E7380" w:rsidRPr="00177154" w:rsidRDefault="003E7380" w:rsidP="00E174E6">
      <w:pPr>
        <w:rPr>
          <w:b/>
          <w:bCs/>
          <w:lang w:val="fr-CA"/>
        </w:rPr>
      </w:pPr>
      <w:bookmarkStart w:id="186" w:name="lt_pId261"/>
      <w:r w:rsidRPr="00177154">
        <w:rPr>
          <w:b/>
          <w:bCs/>
          <w:lang w:val="fr-CA"/>
        </w:rPr>
        <w:t>Explication (mauvaise réponse) :</w:t>
      </w:r>
      <w:bookmarkEnd w:id="186"/>
      <w:r w:rsidRPr="00177154">
        <w:rPr>
          <w:b/>
          <w:bCs/>
          <w:lang w:val="fr-CA"/>
        </w:rPr>
        <w:t xml:space="preserve"> </w:t>
      </w:r>
    </w:p>
    <w:p w14:paraId="3AAAF90A" w14:textId="77777777" w:rsidR="003E7380" w:rsidRPr="00177154" w:rsidRDefault="003E7380" w:rsidP="00E174E6">
      <w:pPr>
        <w:rPr>
          <w:lang w:val="fr-CA"/>
        </w:rPr>
      </w:pPr>
      <w:bookmarkStart w:id="187" w:name="lt_pId262"/>
      <w:r w:rsidRPr="00177154">
        <w:rPr>
          <w:lang w:val="fr-CA"/>
        </w:rPr>
        <w:t>Bel effort</w:t>
      </w:r>
      <w:bookmarkStart w:id="188" w:name="lt_pId263"/>
      <w:bookmarkEnd w:id="187"/>
      <w:r w:rsidRPr="00177154">
        <w:rPr>
          <w:lang w:val="fr-CA"/>
        </w:rPr>
        <w:t>! Cependant, revoyons les options.</w:t>
      </w:r>
      <w:bookmarkEnd w:id="188"/>
      <w:r w:rsidRPr="00177154">
        <w:rPr>
          <w:lang w:val="fr-CA"/>
        </w:rPr>
        <w:t xml:space="preserve"> </w:t>
      </w:r>
    </w:p>
    <w:p w14:paraId="4C20B91E" w14:textId="77777777" w:rsidR="003E7380" w:rsidRPr="00177154" w:rsidRDefault="003E7380" w:rsidP="00E174E6">
      <w:pPr>
        <w:rPr>
          <w:lang w:val="fr-CA"/>
        </w:rPr>
      </w:pPr>
      <w:bookmarkStart w:id="189" w:name="lt_pId264"/>
      <w:r w:rsidRPr="00177154">
        <w:rPr>
          <w:lang w:val="fr-CA"/>
        </w:rPr>
        <w:t xml:space="preserve">Même si les comités d’évaluation peuvent effectivement privilégier les méthodologies et les sujets familiers, les membres du corps professoral issus de minorités ethniques ne bénéficient généralement pas de taux d’acceptation plus élevés lorsqu’ils publient des articles, bien qu’ils mènent des recherches sur des sujets </w:t>
      </w:r>
      <w:proofErr w:type="gramStart"/>
      <w:r w:rsidRPr="00177154">
        <w:rPr>
          <w:lang w:val="fr-CA"/>
        </w:rPr>
        <w:t>ayant</w:t>
      </w:r>
      <w:proofErr w:type="gramEnd"/>
      <w:r w:rsidRPr="00177154">
        <w:rPr>
          <w:lang w:val="fr-CA"/>
        </w:rPr>
        <w:t xml:space="preserve"> une influence significative dans leur domaine.</w:t>
      </w:r>
      <w:bookmarkEnd w:id="189"/>
      <w:r w:rsidRPr="00177154">
        <w:rPr>
          <w:lang w:val="fr-CA"/>
        </w:rPr>
        <w:t xml:space="preserve"> </w:t>
      </w:r>
    </w:p>
    <w:p w14:paraId="1E6A8E7D" w14:textId="77777777" w:rsidR="003E7380" w:rsidRPr="00177154" w:rsidRDefault="003E7380" w:rsidP="00E174E6">
      <w:pPr>
        <w:rPr>
          <w:lang w:val="fr-CA"/>
        </w:rPr>
      </w:pPr>
      <w:bookmarkStart w:id="190" w:name="lt_pId265"/>
      <w:r w:rsidRPr="00177154">
        <w:rPr>
          <w:lang w:val="fr-CA"/>
        </w:rPr>
        <w:t>Ce manque de reconnaissance peut provenir de préjugés systémiques qui privilégient certains types de recherche au détriment d’autres, souvent au détriment des travaux axés sur la communauté.</w:t>
      </w:r>
      <w:bookmarkEnd w:id="190"/>
    </w:p>
    <w:p w14:paraId="78E91C09" w14:textId="77777777" w:rsidR="003E7380" w:rsidRPr="00177154" w:rsidRDefault="003E7380" w:rsidP="00E174E6">
      <w:pPr>
        <w:rPr>
          <w:lang w:val="fr-CA"/>
        </w:rPr>
      </w:pPr>
      <w:bookmarkStart w:id="191" w:name="lt_pId266"/>
      <w:r w:rsidRPr="00177154">
        <w:rPr>
          <w:lang w:val="fr-CA"/>
        </w:rPr>
        <w:t>Cliquez sur l’écran pour continuer.</w:t>
      </w:r>
      <w:bookmarkEnd w:id="191"/>
    </w:p>
    <w:p w14:paraId="007D8DA4" w14:textId="07F1AA0A" w:rsidR="0042795B" w:rsidRPr="00177154" w:rsidRDefault="0042795B" w:rsidP="0042795B">
      <w:pPr>
        <w:pStyle w:val="Heading1"/>
        <w:rPr>
          <w:lang w:val="fr-CA"/>
        </w:rPr>
      </w:pPr>
      <w:bookmarkStart w:id="192" w:name="lt_pId271"/>
      <w:r w:rsidRPr="00177154">
        <w:rPr>
          <w:lang w:val="fr-CA"/>
        </w:rPr>
        <w:t xml:space="preserve">Choix </w:t>
      </w:r>
      <w:r w:rsidR="009365F4">
        <w:rPr>
          <w:lang w:val="fr-CA"/>
        </w:rPr>
        <w:t>m</w:t>
      </w:r>
      <w:r w:rsidR="009365F4" w:rsidRPr="00177154">
        <w:rPr>
          <w:lang w:val="fr-CA"/>
        </w:rPr>
        <w:t xml:space="preserve">ultiple </w:t>
      </w:r>
      <w:r w:rsidRPr="00177154">
        <w:rPr>
          <w:lang w:val="fr-CA"/>
        </w:rPr>
        <w:t>4</w:t>
      </w:r>
    </w:p>
    <w:p w14:paraId="7CBFCA64" w14:textId="1CB9018F" w:rsidR="003E7380" w:rsidRPr="00177154" w:rsidRDefault="003E7380" w:rsidP="00E174E6">
      <w:pPr>
        <w:rPr>
          <w:lang w:val="fr-CA"/>
        </w:rPr>
      </w:pPr>
      <w:r w:rsidRPr="00177154">
        <w:rPr>
          <w:lang w:val="fr-CA"/>
        </w:rPr>
        <w:t>Quel est l’impact des préjugés systémiques dans les processus décisionnels en matière de publication et de financement sur les chercheurs racisés?</w:t>
      </w:r>
      <w:bookmarkEnd w:id="192"/>
    </w:p>
    <w:p w14:paraId="64C45A8F" w14:textId="77777777" w:rsidR="003E7380" w:rsidRPr="009365F4" w:rsidRDefault="003E7380" w:rsidP="00E30D4C">
      <w:pPr>
        <w:pStyle w:val="ListParagraph"/>
        <w:numPr>
          <w:ilvl w:val="0"/>
          <w:numId w:val="11"/>
        </w:numPr>
        <w:rPr>
          <w:lang w:val="fr-CA"/>
        </w:rPr>
      </w:pPr>
      <w:bookmarkStart w:id="193" w:name="lt_pId272"/>
      <w:r w:rsidRPr="009365F4">
        <w:rPr>
          <w:lang w:val="fr-CA"/>
        </w:rPr>
        <w:t>Ils rencontrent moins d’obstacles pour obtenir des fonds et être reconnus.</w:t>
      </w:r>
      <w:bookmarkEnd w:id="193"/>
    </w:p>
    <w:p w14:paraId="5BD30015" w14:textId="77777777" w:rsidR="003E7380" w:rsidRPr="009365F4" w:rsidRDefault="003E7380" w:rsidP="00E30D4C">
      <w:pPr>
        <w:pStyle w:val="ListParagraph"/>
        <w:numPr>
          <w:ilvl w:val="0"/>
          <w:numId w:val="11"/>
        </w:numPr>
        <w:rPr>
          <w:lang w:val="fr-CA"/>
        </w:rPr>
      </w:pPr>
      <w:bookmarkStart w:id="194" w:name="lt_pId273"/>
      <w:r w:rsidRPr="009365F4">
        <w:rPr>
          <w:lang w:val="fr-CA"/>
        </w:rPr>
        <w:t>Leurs programmes de recherche sont plus susceptibles d’être acceptés, quelle que soit leur originalité.</w:t>
      </w:r>
      <w:bookmarkEnd w:id="194"/>
    </w:p>
    <w:p w14:paraId="48B70131" w14:textId="77777777" w:rsidR="003E7380" w:rsidRPr="009365F4" w:rsidRDefault="003E7380" w:rsidP="00E30D4C">
      <w:pPr>
        <w:pStyle w:val="ListParagraph"/>
        <w:numPr>
          <w:ilvl w:val="0"/>
          <w:numId w:val="11"/>
        </w:numPr>
        <w:rPr>
          <w:lang w:val="fr-CA"/>
        </w:rPr>
      </w:pPr>
      <w:bookmarkStart w:id="195" w:name="lt_pId274"/>
      <w:r w:rsidRPr="009365F4">
        <w:rPr>
          <w:lang w:val="fr-CA"/>
        </w:rPr>
        <w:t>Ils sont plus susceptibles de recevoir un soutien pour leurs recherches axées sur la communauté.</w:t>
      </w:r>
      <w:bookmarkEnd w:id="195"/>
    </w:p>
    <w:p w14:paraId="2FB58D4B" w14:textId="77777777" w:rsidR="003E7380" w:rsidRPr="009365F4" w:rsidRDefault="003E7380" w:rsidP="00E30D4C">
      <w:pPr>
        <w:pStyle w:val="ListParagraph"/>
        <w:numPr>
          <w:ilvl w:val="0"/>
          <w:numId w:val="11"/>
        </w:numPr>
        <w:rPr>
          <w:lang w:val="fr-CA"/>
        </w:rPr>
      </w:pPr>
      <w:bookmarkStart w:id="196" w:name="lt_pId275"/>
      <w:r w:rsidRPr="009365F4">
        <w:rPr>
          <w:lang w:val="fr-CA"/>
        </w:rPr>
        <w:t>Ils rencontrent des obstacles pour faire accepter et financer leurs travaux.</w:t>
      </w:r>
      <w:bookmarkEnd w:id="196"/>
    </w:p>
    <w:p w14:paraId="62FA3D93" w14:textId="77777777" w:rsidR="003E7380" w:rsidRPr="00177154" w:rsidRDefault="003E7380" w:rsidP="00E174E6">
      <w:pPr>
        <w:rPr>
          <w:b/>
          <w:bCs/>
          <w:lang w:val="fr-CA"/>
        </w:rPr>
      </w:pPr>
      <w:bookmarkStart w:id="197" w:name="lt_pId276"/>
      <w:r w:rsidRPr="00177154">
        <w:rPr>
          <w:b/>
          <w:bCs/>
          <w:lang w:val="fr-CA"/>
        </w:rPr>
        <w:t>Explication (bonne réponse) :</w:t>
      </w:r>
      <w:bookmarkEnd w:id="197"/>
      <w:r w:rsidRPr="00177154">
        <w:rPr>
          <w:b/>
          <w:bCs/>
          <w:lang w:val="fr-CA"/>
        </w:rPr>
        <w:t xml:space="preserve"> </w:t>
      </w:r>
    </w:p>
    <w:p w14:paraId="35192D9C" w14:textId="77777777" w:rsidR="003E7380" w:rsidRPr="00177154" w:rsidRDefault="003E7380" w:rsidP="00E174E6">
      <w:pPr>
        <w:rPr>
          <w:lang w:val="fr-CA"/>
        </w:rPr>
      </w:pPr>
      <w:bookmarkStart w:id="198" w:name="lt_pId277"/>
      <w:r w:rsidRPr="00177154">
        <w:rPr>
          <w:lang w:val="fr-CA"/>
        </w:rPr>
        <w:t>Bien joué</w:t>
      </w:r>
      <w:bookmarkStart w:id="199" w:name="lt_pId278"/>
      <w:bookmarkEnd w:id="198"/>
      <w:r w:rsidRPr="00177154">
        <w:rPr>
          <w:lang w:val="fr-CA"/>
        </w:rPr>
        <w:t xml:space="preserve">! La bonne réponse est D. </w:t>
      </w:r>
      <w:bookmarkEnd w:id="199"/>
    </w:p>
    <w:p w14:paraId="21F78128" w14:textId="77777777" w:rsidR="003E7380" w:rsidRPr="00177154" w:rsidRDefault="003E7380" w:rsidP="00E174E6">
      <w:pPr>
        <w:rPr>
          <w:lang w:val="fr-CA"/>
        </w:rPr>
      </w:pPr>
      <w:bookmarkStart w:id="200" w:name="lt_pId279"/>
      <w:r w:rsidRPr="00177154">
        <w:rPr>
          <w:lang w:val="fr-CA"/>
        </w:rPr>
        <w:t>Les préjugés systémiques dans les processus de publication et de financement créent souvent des obstacles pour les chercheurs racisés qui souhaitent voir leurs travaux acceptés et financés.</w:t>
      </w:r>
      <w:bookmarkEnd w:id="200"/>
    </w:p>
    <w:p w14:paraId="2F2299F3" w14:textId="77777777" w:rsidR="003E7380" w:rsidRPr="00177154" w:rsidRDefault="003E7380" w:rsidP="00E174E6">
      <w:pPr>
        <w:rPr>
          <w:lang w:val="fr-CA"/>
        </w:rPr>
      </w:pPr>
      <w:bookmarkStart w:id="201" w:name="lt_pId280"/>
      <w:r w:rsidRPr="00177154">
        <w:rPr>
          <w:lang w:val="fr-CA"/>
        </w:rPr>
        <w:lastRenderedPageBreak/>
        <w:t>Cliquez sur l’écran pour continuer.</w:t>
      </w:r>
      <w:bookmarkEnd w:id="201"/>
    </w:p>
    <w:p w14:paraId="5D78BE84" w14:textId="77777777" w:rsidR="003E7380" w:rsidRPr="00177154" w:rsidRDefault="003E7380" w:rsidP="00E174E6">
      <w:pPr>
        <w:rPr>
          <w:b/>
          <w:bCs/>
          <w:lang w:val="fr-CA"/>
        </w:rPr>
      </w:pPr>
      <w:bookmarkStart w:id="202" w:name="lt_pId281"/>
      <w:r w:rsidRPr="00177154">
        <w:rPr>
          <w:b/>
          <w:bCs/>
          <w:lang w:val="fr-CA"/>
        </w:rPr>
        <w:t>Explication (mauvaise réponse) :</w:t>
      </w:r>
      <w:bookmarkEnd w:id="202"/>
      <w:r w:rsidRPr="00177154">
        <w:rPr>
          <w:b/>
          <w:bCs/>
          <w:lang w:val="fr-CA"/>
        </w:rPr>
        <w:t xml:space="preserve"> </w:t>
      </w:r>
    </w:p>
    <w:p w14:paraId="7C31B37A" w14:textId="77777777" w:rsidR="003E7380" w:rsidRPr="00177154" w:rsidRDefault="003E7380" w:rsidP="00E174E6">
      <w:pPr>
        <w:rPr>
          <w:lang w:val="fr-CA"/>
        </w:rPr>
      </w:pPr>
      <w:bookmarkStart w:id="203" w:name="lt_pId282"/>
      <w:r w:rsidRPr="00177154">
        <w:rPr>
          <w:lang w:val="fr-CA"/>
        </w:rPr>
        <w:t>Bel effort</w:t>
      </w:r>
      <w:bookmarkStart w:id="204" w:name="lt_pId283"/>
      <w:bookmarkEnd w:id="203"/>
      <w:r w:rsidRPr="00177154">
        <w:rPr>
          <w:lang w:val="fr-CA"/>
        </w:rPr>
        <w:t xml:space="preserve">! Cependant, revoyons les options. </w:t>
      </w:r>
      <w:bookmarkEnd w:id="204"/>
    </w:p>
    <w:p w14:paraId="19BF543F" w14:textId="77777777" w:rsidR="003E7380" w:rsidRPr="00177154" w:rsidRDefault="003E7380" w:rsidP="00E174E6">
      <w:pPr>
        <w:rPr>
          <w:lang w:val="fr-CA"/>
        </w:rPr>
      </w:pPr>
      <w:bookmarkStart w:id="205" w:name="lt_pId284"/>
      <w:r w:rsidRPr="00177154">
        <w:rPr>
          <w:lang w:val="fr-CA"/>
        </w:rPr>
        <w:t>Les préjugés systémiques dans les processus décisionnels en matière de publication et de financement créent souvent des obstacles pour les chercheurs racisés.</w:t>
      </w:r>
      <w:bookmarkEnd w:id="205"/>
      <w:r w:rsidRPr="00177154">
        <w:rPr>
          <w:lang w:val="fr-CA"/>
        </w:rPr>
        <w:t xml:space="preserve"> </w:t>
      </w:r>
    </w:p>
    <w:p w14:paraId="5C0FB15A" w14:textId="51B366BB" w:rsidR="003E7380" w:rsidRPr="00177154" w:rsidRDefault="003E7380" w:rsidP="00E174E6">
      <w:pPr>
        <w:rPr>
          <w:lang w:val="fr-CA"/>
        </w:rPr>
      </w:pPr>
      <w:bookmarkStart w:id="206" w:name="lt_pId285"/>
      <w:r w:rsidRPr="00177154">
        <w:rPr>
          <w:lang w:val="fr-CA"/>
        </w:rPr>
        <w:t>Ces obstacles peuvent inclure des taux d’acceptation plus faibles pour leurs travaux, des difficultés à obtenir des fonds et des défis à faire reconnaître et soutenir leur contribution au sein du milieu universitaire</w:t>
      </w:r>
      <w:r w:rsidR="00321B0E">
        <w:rPr>
          <w:lang w:val="fr-CA"/>
        </w:rPr>
        <w:t xml:space="preserve"> et collégial</w:t>
      </w:r>
      <w:r w:rsidRPr="00177154">
        <w:rPr>
          <w:lang w:val="fr-CA"/>
        </w:rPr>
        <w:t>.</w:t>
      </w:r>
      <w:bookmarkEnd w:id="206"/>
    </w:p>
    <w:p w14:paraId="6113B9F0" w14:textId="77777777" w:rsidR="003E7380" w:rsidRPr="00177154" w:rsidRDefault="003E7380" w:rsidP="00E174E6">
      <w:pPr>
        <w:rPr>
          <w:lang w:val="fr-CA"/>
        </w:rPr>
      </w:pPr>
      <w:bookmarkStart w:id="207" w:name="lt_pId286"/>
      <w:r w:rsidRPr="00177154">
        <w:rPr>
          <w:lang w:val="fr-CA"/>
        </w:rPr>
        <w:t>Cliquez sur l’écran pour continuer.</w:t>
      </w:r>
      <w:bookmarkEnd w:id="207"/>
    </w:p>
    <w:p w14:paraId="235F21E8" w14:textId="7F5CFBD8" w:rsidR="003E7380" w:rsidRPr="00177154" w:rsidRDefault="003E7380" w:rsidP="0042795B">
      <w:pPr>
        <w:pStyle w:val="Heading1"/>
        <w:rPr>
          <w:rStyle w:val="Strong"/>
          <w:b/>
          <w:bCs/>
          <w:lang w:val="fr-CA"/>
        </w:rPr>
      </w:pPr>
      <w:bookmarkStart w:id="208" w:name="lt_pId292"/>
      <w:r w:rsidRPr="00177154">
        <w:rPr>
          <w:lang w:val="fr-CA"/>
        </w:rPr>
        <w:t xml:space="preserve">2. </w:t>
      </w:r>
      <w:bookmarkStart w:id="209" w:name="lt_pId293"/>
      <w:bookmarkEnd w:id="208"/>
      <w:r w:rsidRPr="00177154">
        <w:rPr>
          <w:rStyle w:val="Strong"/>
          <w:b/>
          <w:bCs/>
          <w:lang w:val="fr-CA"/>
        </w:rPr>
        <w:t>Préjugés envers les peuples et communautés autochtones</w:t>
      </w:r>
      <w:bookmarkEnd w:id="209"/>
      <w:r w:rsidR="0042795B" w:rsidRPr="00177154">
        <w:rPr>
          <w:rStyle w:val="Strong"/>
          <w:b/>
          <w:bCs/>
          <w:lang w:val="fr-CA"/>
        </w:rPr>
        <w:t xml:space="preserve"> 1</w:t>
      </w:r>
    </w:p>
    <w:bookmarkStart w:id="210" w:name="lt_pId291"/>
    <w:bookmarkStart w:id="211" w:name="lt_pId294"/>
    <w:p w14:paraId="51531F13" w14:textId="77777777" w:rsidR="00560EB8" w:rsidRPr="00177154" w:rsidRDefault="00560EB8" w:rsidP="00560EB8">
      <w:pPr>
        <w:rPr>
          <w:lang w:val="fr-CA"/>
        </w:rPr>
      </w:pPr>
      <w:r w:rsidRPr="00177154">
        <w:rPr>
          <w:lang w:val="fr-CA"/>
        </w:rPr>
        <w:fldChar w:fldCharType="begin"/>
      </w:r>
      <w:r w:rsidRPr="00177154">
        <w:rPr>
          <w:lang w:val="fr-CA"/>
        </w:rPr>
        <w:instrText>HYPERLINK "https://cihr-irsc.gc.ca/f/54486.html" \l "a3"</w:instrText>
      </w:r>
      <w:r w:rsidRPr="00177154">
        <w:rPr>
          <w:lang w:val="fr-CA"/>
        </w:rPr>
      </w:r>
      <w:r w:rsidRPr="00177154">
        <w:rPr>
          <w:lang w:val="fr-CA"/>
        </w:rPr>
        <w:fldChar w:fldCharType="separate"/>
      </w:r>
      <w:r w:rsidRPr="00177154">
        <w:rPr>
          <w:rStyle w:val="Hyperlink"/>
          <w:lang w:val="fr-CA"/>
        </w:rPr>
        <w:t>Références</w:t>
      </w:r>
      <w:r w:rsidRPr="00177154">
        <w:rPr>
          <w:lang w:val="fr-CA"/>
        </w:rPr>
        <w:fldChar w:fldCharType="end"/>
      </w:r>
      <w:bookmarkEnd w:id="210"/>
    </w:p>
    <w:p w14:paraId="7F06BECE" w14:textId="09650E24" w:rsidR="003E7380" w:rsidRPr="00177154" w:rsidRDefault="003E7380" w:rsidP="00E174E6">
      <w:pPr>
        <w:rPr>
          <w:lang w:val="fr-CA"/>
        </w:rPr>
      </w:pPr>
      <w:r w:rsidRPr="00177154">
        <w:rPr>
          <w:lang w:val="fr-CA"/>
        </w:rPr>
        <w:t xml:space="preserve">Les étudiants et professeurs autochtones (Premières Nations, Inuits et Métis) sont sous-représentés dans les établissements de recherche canadiens. </w:t>
      </w:r>
      <w:bookmarkStart w:id="212" w:name="lt_pId295"/>
      <w:bookmarkEnd w:id="211"/>
      <w:r w:rsidRPr="00177154">
        <w:rPr>
          <w:lang w:val="fr-CA"/>
        </w:rPr>
        <w:t xml:space="preserve">Selon Statistique Canada, en 2019, alors que les peuples autochtones représentaient 5 % de la population canadienne, moins de 2 % des doctorants et un peu plus de 2 % de l’ensemble du corps professoral étaient autochtones. </w:t>
      </w:r>
      <w:bookmarkEnd w:id="212"/>
      <w:r w:rsidRPr="00177154">
        <w:rPr>
          <w:lang w:val="fr-CA"/>
        </w:rPr>
        <w:t xml:space="preserve">La même année, environ un tiers des professeurs et chercheurs autochtones ont déclaré avoir été </w:t>
      </w:r>
      <w:r w:rsidRPr="003E2ADC">
        <w:rPr>
          <w:lang w:val="fr-CA"/>
        </w:rPr>
        <w:t>traités injustement</w:t>
      </w:r>
      <w:r w:rsidRPr="00177154">
        <w:rPr>
          <w:lang w:val="fr-CA"/>
        </w:rPr>
        <w:t xml:space="preserve"> </w:t>
      </w:r>
      <w:proofErr w:type="gramStart"/>
      <w:r w:rsidRPr="00177154">
        <w:rPr>
          <w:lang w:val="fr-CA"/>
        </w:rPr>
        <w:t>ou</w:t>
      </w:r>
      <w:proofErr w:type="gramEnd"/>
      <w:r w:rsidRPr="00177154">
        <w:rPr>
          <w:lang w:val="fr-CA"/>
        </w:rPr>
        <w:t xml:space="preserve"> avoir subi de la </w:t>
      </w:r>
      <w:r>
        <w:fldChar w:fldCharType="begin"/>
      </w:r>
      <w:r w:rsidRPr="004C3A45">
        <w:rPr>
          <w:lang w:val="fr-CA"/>
        </w:rPr>
        <w:instrText>HYPERLINK "https://cihr-irsc.gc.ca/f/54487.html" \l "a7"</w:instrText>
      </w:r>
      <w:r>
        <w:fldChar w:fldCharType="separate"/>
      </w:r>
      <w:r w:rsidRPr="003E2ADC">
        <w:rPr>
          <w:rStyle w:val="Hyperlink"/>
          <w:lang w:val="fr-CA"/>
        </w:rPr>
        <w:t>discrimination</w:t>
      </w:r>
      <w:r>
        <w:fldChar w:fldCharType="end"/>
      </w:r>
      <w:r w:rsidRPr="00177154">
        <w:rPr>
          <w:lang w:val="fr-CA"/>
        </w:rPr>
        <w:t xml:space="preserve"> au sein de leur établissement.</w:t>
      </w:r>
    </w:p>
    <w:p w14:paraId="40D2D6A7" w14:textId="47B46D25" w:rsidR="003E7380" w:rsidRPr="00177154" w:rsidRDefault="003E7380" w:rsidP="0042795B">
      <w:pPr>
        <w:pStyle w:val="Heading1"/>
        <w:rPr>
          <w:lang w:val="fr-CA"/>
        </w:rPr>
      </w:pPr>
      <w:bookmarkStart w:id="213" w:name="lt_pId298"/>
      <w:r w:rsidRPr="00177154">
        <w:rPr>
          <w:lang w:val="fr-CA"/>
        </w:rPr>
        <w:t>2.</w:t>
      </w:r>
      <w:bookmarkStart w:id="214" w:name="lt_pId299"/>
      <w:bookmarkEnd w:id="213"/>
      <w:r w:rsidRPr="00177154">
        <w:rPr>
          <w:rStyle w:val="Strong"/>
          <w:b/>
          <w:bCs/>
          <w:lang w:val="fr-CA"/>
        </w:rPr>
        <w:t xml:space="preserve"> Préjugés envers les peuples et communautés autochtones</w:t>
      </w:r>
      <w:bookmarkEnd w:id="214"/>
      <w:r w:rsidR="0042795B" w:rsidRPr="00177154">
        <w:rPr>
          <w:rStyle w:val="Strong"/>
          <w:b/>
          <w:bCs/>
          <w:lang w:val="fr-CA"/>
        </w:rPr>
        <w:t xml:space="preserve"> 2</w:t>
      </w:r>
    </w:p>
    <w:p w14:paraId="1183C7E8" w14:textId="42704A6B" w:rsidR="003E7380" w:rsidRPr="00177154" w:rsidRDefault="003E7380" w:rsidP="00E174E6">
      <w:pPr>
        <w:rPr>
          <w:szCs w:val="22"/>
          <w:lang w:val="fr-CA"/>
        </w:rPr>
      </w:pPr>
      <w:bookmarkStart w:id="215" w:name="lt_pId300"/>
      <w:r w:rsidRPr="00177154">
        <w:rPr>
          <w:lang w:val="fr-CA"/>
        </w:rPr>
        <w:t xml:space="preserve">La pénurie de professeurs autochtones limite les possibilités de mentorat et les oblige souvent à assumer des responsabilités supplémentaires, ce qui réduit le temps qu’ils peuvent consacrer à la recherche et à la publication. </w:t>
      </w:r>
      <w:bookmarkStart w:id="216" w:name="lt_pId301"/>
      <w:bookmarkEnd w:id="215"/>
      <w:r w:rsidRPr="00177154">
        <w:rPr>
          <w:lang w:val="fr-CA"/>
        </w:rPr>
        <w:t xml:space="preserve">Ils doivent également composer avec des environnements universitaires </w:t>
      </w:r>
      <w:r w:rsidR="00321B0E">
        <w:rPr>
          <w:lang w:val="fr-CA"/>
        </w:rPr>
        <w:t xml:space="preserve">et collégiaux </w:t>
      </w:r>
      <w:r w:rsidRPr="00177154">
        <w:rPr>
          <w:lang w:val="fr-CA"/>
        </w:rPr>
        <w:t>difficiles, l’isolement géographique et une perception largement répandue selon laquelle les chercheurs autochtones (Premières Nations, Inuits et Métis) ont leur place dans des disciplines spécifiques.</w:t>
      </w:r>
      <w:bookmarkEnd w:id="216"/>
      <w:r w:rsidRPr="00177154">
        <w:rPr>
          <w:lang w:val="fr-CA"/>
        </w:rPr>
        <w:t xml:space="preserve"> </w:t>
      </w:r>
      <w:bookmarkStart w:id="217" w:name="lt_pId302"/>
      <w:r w:rsidRPr="00177154">
        <w:rPr>
          <w:lang w:val="fr-CA"/>
        </w:rPr>
        <w:t>Il est important de souligner que ce ne sont pas tous les chercheurs s’intéressant aux questions autochtones qui sont autochtones, et que ce ne sont pas non plus tous les chercheurs autochtones qui travaillent sur ces questions.</w:t>
      </w:r>
      <w:bookmarkEnd w:id="217"/>
    </w:p>
    <w:p w14:paraId="0798DAF6" w14:textId="7A7A0D82" w:rsidR="003E7380" w:rsidRPr="00177154" w:rsidRDefault="003E7380" w:rsidP="0042795B">
      <w:pPr>
        <w:pStyle w:val="Heading1"/>
        <w:rPr>
          <w:rStyle w:val="Strong"/>
          <w:b/>
          <w:bCs/>
          <w:lang w:val="fr-CA"/>
        </w:rPr>
      </w:pPr>
      <w:bookmarkStart w:id="218" w:name="lt_pId304"/>
      <w:r w:rsidRPr="00177154">
        <w:rPr>
          <w:lang w:val="fr-CA"/>
        </w:rPr>
        <w:lastRenderedPageBreak/>
        <w:t>2.</w:t>
      </w:r>
      <w:bookmarkStart w:id="219" w:name="lt_pId305"/>
      <w:bookmarkEnd w:id="218"/>
      <w:r w:rsidRPr="00177154">
        <w:rPr>
          <w:rStyle w:val="Strong"/>
          <w:b/>
          <w:bCs/>
          <w:lang w:val="fr-CA"/>
        </w:rPr>
        <w:t xml:space="preserve"> Préjugés envers les peuples et communautés autochtones</w:t>
      </w:r>
      <w:bookmarkEnd w:id="219"/>
      <w:r w:rsidR="0042795B" w:rsidRPr="00177154">
        <w:rPr>
          <w:rStyle w:val="Strong"/>
          <w:b/>
          <w:bCs/>
          <w:lang w:val="fr-CA"/>
        </w:rPr>
        <w:t xml:space="preserve"> 3</w:t>
      </w:r>
    </w:p>
    <w:p w14:paraId="1B7FCAE3" w14:textId="3CDE3BA5" w:rsidR="003E7380" w:rsidRPr="00177154" w:rsidRDefault="003E7380" w:rsidP="00E174E6">
      <w:pPr>
        <w:rPr>
          <w:szCs w:val="22"/>
          <w:lang w:val="fr-CA"/>
        </w:rPr>
      </w:pPr>
      <w:bookmarkStart w:id="220" w:name="lt_pId306"/>
      <w:r w:rsidRPr="00177154">
        <w:rPr>
          <w:lang w:val="fr-CA"/>
        </w:rPr>
        <w:t xml:space="preserve">Le processus d’évaluation par les pairs peut également exclure les valeurs et les connaissances des Premières Nations, des Inuits et des Métis. Par exemple, les membres d’un comité d’évaluation peuvent ne pas accorder d’importance à la recherche communautaire ou réduire la participation des Autochtones </w:t>
      </w:r>
      <w:r w:rsidR="007D3BB8" w:rsidRPr="00177154">
        <w:rPr>
          <w:lang w:val="fr-CA"/>
        </w:rPr>
        <w:t xml:space="preserve">à </w:t>
      </w:r>
      <w:r w:rsidR="00722448" w:rsidRPr="00722448">
        <w:rPr>
          <w:lang w:val="fr-CA"/>
        </w:rPr>
        <w:t>un simple geste symbolique (</w:t>
      </w:r>
      <w:hyperlink r:id="rId39" w:anchor="a9" w:tgtFrame="_blank" w:history="1">
        <w:r w:rsidR="00722448" w:rsidRPr="00722448">
          <w:rPr>
            <w:rStyle w:val="Hyperlink"/>
            <w:lang w:val="fr-CA"/>
          </w:rPr>
          <w:t>inclusion de façade</w:t>
        </w:r>
      </w:hyperlink>
      <w:r w:rsidR="00722448" w:rsidRPr="00722448">
        <w:rPr>
          <w:lang w:val="fr-CA"/>
        </w:rPr>
        <w:t>)</w:t>
      </w:r>
      <w:r w:rsidR="007D3BB8" w:rsidRPr="00177154">
        <w:rPr>
          <w:lang w:val="fr-CA"/>
        </w:rPr>
        <w:t xml:space="preserve">, </w:t>
      </w:r>
      <w:r w:rsidRPr="00177154">
        <w:rPr>
          <w:lang w:val="fr-CA"/>
        </w:rPr>
        <w:t>en privilégiant les méthodologies occidentales ou européennes. Cela perpétue un préjugé systémique selon lequel la recherche utilisant des méthodes occidentales est considérée comme plus finançable que celle fondée sur les systèmes de connaissances et les façons de faire autochtones.</w:t>
      </w:r>
      <w:bookmarkEnd w:id="220"/>
    </w:p>
    <w:p w14:paraId="10971945" w14:textId="12FD4C09" w:rsidR="003E7380" w:rsidRPr="00177154" w:rsidRDefault="003E7380" w:rsidP="0042795B">
      <w:pPr>
        <w:pStyle w:val="Heading1"/>
        <w:rPr>
          <w:rStyle w:val="Strong"/>
          <w:b/>
          <w:bCs/>
          <w:lang w:val="fr-CA"/>
        </w:rPr>
      </w:pPr>
      <w:bookmarkStart w:id="221" w:name="lt_pId310"/>
      <w:r w:rsidRPr="00177154">
        <w:rPr>
          <w:lang w:val="fr-CA"/>
        </w:rPr>
        <w:t>2.</w:t>
      </w:r>
      <w:bookmarkStart w:id="222" w:name="lt_pId311"/>
      <w:bookmarkEnd w:id="221"/>
      <w:r w:rsidRPr="00177154">
        <w:rPr>
          <w:rStyle w:val="Strong"/>
          <w:b/>
          <w:bCs/>
          <w:lang w:val="fr-CA"/>
        </w:rPr>
        <w:t xml:space="preserve"> Préjugés envers les peuples et communautés autochtones</w:t>
      </w:r>
      <w:bookmarkEnd w:id="222"/>
      <w:r w:rsidR="0042795B" w:rsidRPr="00177154">
        <w:rPr>
          <w:rStyle w:val="Strong"/>
          <w:b/>
          <w:bCs/>
          <w:lang w:val="fr-CA"/>
        </w:rPr>
        <w:t xml:space="preserve"> 4</w:t>
      </w:r>
    </w:p>
    <w:p w14:paraId="19F41F15" w14:textId="4246E76B" w:rsidR="003E7380" w:rsidRPr="00177154" w:rsidRDefault="003E7380" w:rsidP="00E174E6">
      <w:pPr>
        <w:rPr>
          <w:rStyle w:val="normaltextrun"/>
          <w:rFonts w:ascii="Calibri" w:hAnsi="Calibri" w:cs="Calibri"/>
          <w:szCs w:val="22"/>
          <w:lang w:val="fr-CA"/>
        </w:rPr>
      </w:pPr>
      <w:bookmarkStart w:id="223" w:name="lt_pId312"/>
      <w:r w:rsidRPr="00177154">
        <w:rPr>
          <w:lang w:val="fr-CA"/>
        </w:rPr>
        <w:t xml:space="preserve">Ce biais systémique trouve son origine dans une mauvaise compréhension et une mauvaise application des droits des peuples autochtones, notamment des Premières Nations, des Inuits et des Métis, en matière de connaissances et de pratiques. </w:t>
      </w:r>
      <w:bookmarkStart w:id="224" w:name="lt_pId313"/>
      <w:bookmarkEnd w:id="223"/>
      <w:r w:rsidRPr="00177154">
        <w:rPr>
          <w:lang w:val="fr-CA"/>
        </w:rPr>
        <w:t xml:space="preserve">Il entraîne une pénurie de chercheurs autochtones en minimisant la valeur de leurs méthodologies culturelles, ce qui peut les dissuader de solliciter du financement. </w:t>
      </w:r>
      <w:bookmarkStart w:id="225" w:name="lt_pId314"/>
      <w:bookmarkEnd w:id="224"/>
      <w:r w:rsidRPr="00177154">
        <w:rPr>
          <w:lang w:val="fr-CA"/>
        </w:rPr>
        <w:t>Il en résulte globalement une réduction des retombées de la recherche pour l’ensemble de la population canadienne.</w:t>
      </w:r>
      <w:bookmarkEnd w:id="225"/>
    </w:p>
    <w:p w14:paraId="0A18E122" w14:textId="2A376BD0" w:rsidR="003E7380" w:rsidRPr="00177154" w:rsidRDefault="003E7380" w:rsidP="0042795B">
      <w:pPr>
        <w:pStyle w:val="Heading1"/>
        <w:rPr>
          <w:lang w:val="fr-CA"/>
        </w:rPr>
      </w:pPr>
      <w:bookmarkStart w:id="226" w:name="lt_pId317"/>
      <w:r w:rsidRPr="00177154">
        <w:rPr>
          <w:lang w:val="fr-CA"/>
        </w:rPr>
        <w:t xml:space="preserve">3. </w:t>
      </w:r>
      <w:bookmarkStart w:id="227" w:name="lt_pId318"/>
      <w:bookmarkEnd w:id="226"/>
      <w:r w:rsidRPr="00177154">
        <w:rPr>
          <w:lang w:val="fr-CA"/>
        </w:rPr>
        <w:t>Préjugés liés aux handicaps</w:t>
      </w:r>
      <w:bookmarkEnd w:id="227"/>
      <w:r w:rsidR="0042795B" w:rsidRPr="00177154">
        <w:rPr>
          <w:lang w:val="fr-CA"/>
        </w:rPr>
        <w:t xml:space="preserve"> 1</w:t>
      </w:r>
    </w:p>
    <w:bookmarkStart w:id="228" w:name="lt_pId316"/>
    <w:bookmarkStart w:id="229" w:name="lt_pId319"/>
    <w:p w14:paraId="610098A2" w14:textId="77777777" w:rsidR="00BD4F63" w:rsidRPr="00177154" w:rsidRDefault="00BD4F63" w:rsidP="00BD4F63">
      <w:pPr>
        <w:rPr>
          <w:lang w:val="fr-CA"/>
        </w:rPr>
      </w:pPr>
      <w:r w:rsidRPr="00177154">
        <w:rPr>
          <w:lang w:val="fr-CA"/>
        </w:rPr>
        <w:fldChar w:fldCharType="begin"/>
      </w:r>
      <w:r w:rsidRPr="00177154">
        <w:rPr>
          <w:lang w:val="fr-CA"/>
        </w:rPr>
        <w:instrText>HYPERLINK "https://cihr-irsc.gc.ca/f/54486.html" \l "a4"</w:instrText>
      </w:r>
      <w:r w:rsidRPr="00177154">
        <w:rPr>
          <w:lang w:val="fr-CA"/>
        </w:rPr>
      </w:r>
      <w:r w:rsidRPr="00177154">
        <w:rPr>
          <w:lang w:val="fr-CA"/>
        </w:rPr>
        <w:fldChar w:fldCharType="separate"/>
      </w:r>
      <w:r w:rsidRPr="00177154">
        <w:rPr>
          <w:rStyle w:val="Hyperlink"/>
          <w:lang w:val="fr-CA"/>
        </w:rPr>
        <w:t>Références</w:t>
      </w:r>
      <w:r w:rsidRPr="00177154">
        <w:rPr>
          <w:lang w:val="fr-CA"/>
        </w:rPr>
        <w:fldChar w:fldCharType="end"/>
      </w:r>
      <w:bookmarkEnd w:id="228"/>
    </w:p>
    <w:p w14:paraId="454998DE" w14:textId="780EE078" w:rsidR="003E7380" w:rsidRPr="00177154" w:rsidRDefault="009509E5" w:rsidP="00E174E6">
      <w:pPr>
        <w:rPr>
          <w:szCs w:val="22"/>
          <w:lang w:val="fr-CA"/>
        </w:rPr>
      </w:pPr>
      <w:r w:rsidRPr="00177154">
        <w:rPr>
          <w:lang w:val="fr-CA"/>
        </w:rPr>
        <w:t xml:space="preserve">Le </w:t>
      </w:r>
      <w:hyperlink r:id="rId40" w:anchor="a5" w:history="1">
        <w:r w:rsidRPr="00177154">
          <w:rPr>
            <w:rStyle w:val="Hyperlink"/>
            <w:lang w:val="fr-CA"/>
          </w:rPr>
          <w:t>capacitisme</w:t>
        </w:r>
      </w:hyperlink>
      <w:r w:rsidRPr="00177154">
        <w:rPr>
          <w:lang w:val="fr-CA"/>
        </w:rPr>
        <w:t xml:space="preserve"> se </w:t>
      </w:r>
      <w:r w:rsidR="003E7380" w:rsidRPr="00177154">
        <w:rPr>
          <w:lang w:val="fr-CA"/>
        </w:rPr>
        <w:t xml:space="preserve">manifeste par des préjugés et des gestes discriminatoires fondés sur des différences physiques, mentales ou émotionnelles. </w:t>
      </w:r>
      <w:bookmarkStart w:id="230" w:name="lt_pId320"/>
      <w:bookmarkEnd w:id="229"/>
      <w:r w:rsidR="003E7380" w:rsidRPr="00177154">
        <w:rPr>
          <w:lang w:val="fr-CA"/>
        </w:rPr>
        <w:t xml:space="preserve">En raison du capacitisme, les personnes en situation de handicap sont perçues comme moins aptes à contribuer et comme ayant moins de valeur intrinsèque que les autres. </w:t>
      </w:r>
      <w:bookmarkStart w:id="231" w:name="lt_pId321"/>
      <w:bookmarkEnd w:id="230"/>
      <w:r w:rsidR="003E7380" w:rsidRPr="00177154">
        <w:rPr>
          <w:lang w:val="fr-CA"/>
        </w:rPr>
        <w:t xml:space="preserve">Le capacitisme limite les possibilités des personnes en situation de handicap, crée et </w:t>
      </w:r>
      <w:proofErr w:type="spellStart"/>
      <w:r w:rsidR="003E7380" w:rsidRPr="00177154">
        <w:rPr>
          <w:lang w:val="fr-CA"/>
        </w:rPr>
        <w:t>maintient</w:t>
      </w:r>
      <w:proofErr w:type="spellEnd"/>
      <w:r w:rsidR="003E7380" w:rsidRPr="00177154">
        <w:rPr>
          <w:lang w:val="fr-CA"/>
        </w:rPr>
        <w:t xml:space="preserve"> des conditions d’inaccessibilité et d’exclusion.</w:t>
      </w:r>
      <w:bookmarkEnd w:id="231"/>
    </w:p>
    <w:p w14:paraId="337A58D0" w14:textId="79A911E7" w:rsidR="003E7380" w:rsidRPr="00177154" w:rsidRDefault="003E7380" w:rsidP="0042795B">
      <w:pPr>
        <w:pStyle w:val="Heading1"/>
        <w:rPr>
          <w:lang w:val="fr-CA"/>
        </w:rPr>
      </w:pPr>
      <w:bookmarkStart w:id="232" w:name="lt_pId323"/>
      <w:r w:rsidRPr="00177154">
        <w:rPr>
          <w:lang w:val="fr-CA"/>
        </w:rPr>
        <w:t>3.</w:t>
      </w:r>
      <w:bookmarkStart w:id="233" w:name="lt_pId324"/>
      <w:bookmarkEnd w:id="232"/>
      <w:r w:rsidRPr="00177154">
        <w:rPr>
          <w:lang w:val="fr-CA"/>
        </w:rPr>
        <w:t xml:space="preserve"> Préjugés liés aux handicaps</w:t>
      </w:r>
      <w:bookmarkEnd w:id="233"/>
      <w:r w:rsidR="0042795B" w:rsidRPr="00177154">
        <w:rPr>
          <w:lang w:val="fr-CA"/>
        </w:rPr>
        <w:t xml:space="preserve"> 2</w:t>
      </w:r>
    </w:p>
    <w:p w14:paraId="76674A53" w14:textId="77BB4306" w:rsidR="003E7380" w:rsidRPr="00177154" w:rsidRDefault="003E7380" w:rsidP="00E174E6">
      <w:pPr>
        <w:rPr>
          <w:szCs w:val="22"/>
          <w:lang w:val="fr-CA"/>
        </w:rPr>
      </w:pPr>
      <w:bookmarkStart w:id="234" w:name="lt_pId325"/>
      <w:r w:rsidRPr="00177154">
        <w:rPr>
          <w:lang w:val="fr-CA"/>
        </w:rPr>
        <w:t xml:space="preserve">Le fait de privilégier la productivité en recherche plutôt que les retombées de cette dernière est un symptôme </w:t>
      </w:r>
      <w:r w:rsidR="00A636DF" w:rsidRPr="00177154">
        <w:rPr>
          <w:lang w:val="fr-CA"/>
        </w:rPr>
        <w:t xml:space="preserve">du </w:t>
      </w:r>
      <w:hyperlink r:id="rId41" w:anchor="a5" w:history="1">
        <w:r w:rsidR="00A636DF" w:rsidRPr="00177154">
          <w:rPr>
            <w:rStyle w:val="Hyperlink"/>
            <w:lang w:val="fr-CA"/>
          </w:rPr>
          <w:t>capacitisme</w:t>
        </w:r>
      </w:hyperlink>
      <w:r w:rsidR="00A636DF" w:rsidRPr="00177154">
        <w:rPr>
          <w:lang w:val="fr-CA"/>
        </w:rPr>
        <w:t xml:space="preserve"> dans </w:t>
      </w:r>
      <w:r w:rsidRPr="00177154">
        <w:rPr>
          <w:lang w:val="fr-CA"/>
        </w:rPr>
        <w:t xml:space="preserve">l’écosystème de la recherche. </w:t>
      </w:r>
      <w:bookmarkStart w:id="235" w:name="lt_pId326"/>
      <w:bookmarkEnd w:id="234"/>
      <w:r w:rsidRPr="00177154">
        <w:rPr>
          <w:lang w:val="fr-CA"/>
        </w:rPr>
        <w:t xml:space="preserve">Ce préjugé suppose que les personnes qui ne correspondent pas à l’image idéalisée d’une personne ayant un parcours professionnel traditionnel ont une contribution moindre. </w:t>
      </w:r>
      <w:bookmarkStart w:id="236" w:name="lt_pId327"/>
      <w:bookmarkEnd w:id="235"/>
      <w:r w:rsidRPr="00177154">
        <w:rPr>
          <w:lang w:val="fr-CA"/>
        </w:rPr>
        <w:t xml:space="preserve">Par exemple, une personne inscrite à temps plein aux </w:t>
      </w:r>
      <w:r w:rsidRPr="00177154">
        <w:rPr>
          <w:lang w:val="fr-CA"/>
        </w:rPr>
        <w:lastRenderedPageBreak/>
        <w:t>études, travaillant de longues heures, présentant des exposés lors de plusieurs conférences et publiant régulièrement.</w:t>
      </w:r>
      <w:bookmarkEnd w:id="236"/>
    </w:p>
    <w:p w14:paraId="739B4A2F" w14:textId="4C58DB71" w:rsidR="003E7380" w:rsidRPr="00177154" w:rsidRDefault="003E7380" w:rsidP="0042795B">
      <w:pPr>
        <w:pStyle w:val="Heading1"/>
        <w:rPr>
          <w:lang w:val="fr-CA"/>
        </w:rPr>
      </w:pPr>
      <w:bookmarkStart w:id="237" w:name="lt_pId329"/>
      <w:r w:rsidRPr="00177154">
        <w:rPr>
          <w:lang w:val="fr-CA"/>
        </w:rPr>
        <w:t>3.</w:t>
      </w:r>
      <w:bookmarkStart w:id="238" w:name="lt_pId330"/>
      <w:bookmarkEnd w:id="237"/>
      <w:r w:rsidRPr="00177154">
        <w:rPr>
          <w:lang w:val="fr-CA"/>
        </w:rPr>
        <w:t xml:space="preserve"> Préjugés liés aux handicaps</w:t>
      </w:r>
      <w:bookmarkEnd w:id="238"/>
      <w:r w:rsidR="0042795B" w:rsidRPr="00177154">
        <w:rPr>
          <w:lang w:val="fr-CA"/>
        </w:rPr>
        <w:t xml:space="preserve"> 3</w:t>
      </w:r>
    </w:p>
    <w:p w14:paraId="0B850F10" w14:textId="071091BC" w:rsidR="003E7380" w:rsidRPr="00177154" w:rsidRDefault="003E7380" w:rsidP="00E174E6">
      <w:pPr>
        <w:rPr>
          <w:rStyle w:val="normaltextrun"/>
          <w:szCs w:val="22"/>
          <w:lang w:val="fr-CA"/>
        </w:rPr>
      </w:pPr>
      <w:bookmarkStart w:id="239" w:name="lt_pId331"/>
      <w:r w:rsidRPr="00177154">
        <w:rPr>
          <w:lang w:val="fr-CA"/>
        </w:rPr>
        <w:t xml:space="preserve">Cette attente discriminatoire </w:t>
      </w:r>
      <w:proofErr w:type="gramStart"/>
      <w:r w:rsidRPr="00177154">
        <w:rPr>
          <w:lang w:val="fr-CA"/>
        </w:rPr>
        <w:t>a</w:t>
      </w:r>
      <w:proofErr w:type="gramEnd"/>
      <w:r w:rsidRPr="00177154">
        <w:rPr>
          <w:lang w:val="fr-CA"/>
        </w:rPr>
        <w:t xml:space="preserve"> des répercussions variables sur l’expérience des chercheurs en situation de handicap en fonction de facteurs comme </w:t>
      </w:r>
      <w:r w:rsidR="00925412" w:rsidRPr="00177154">
        <w:rPr>
          <w:lang w:val="fr-CA"/>
        </w:rPr>
        <w:t xml:space="preserve">la visibilité de leur </w:t>
      </w:r>
      <w:r w:rsidR="00925412">
        <w:fldChar w:fldCharType="begin"/>
      </w:r>
      <w:r w:rsidR="00925412" w:rsidRPr="004C3A45">
        <w:rPr>
          <w:lang w:val="fr-CA"/>
        </w:rPr>
        <w:instrText>HYPERLINK "https://cihr-irsc.gc.ca/f/54487.html" \l "a17"</w:instrText>
      </w:r>
      <w:r w:rsidR="00925412">
        <w:fldChar w:fldCharType="separate"/>
      </w:r>
      <w:r w:rsidR="00925412" w:rsidRPr="00177154">
        <w:rPr>
          <w:rStyle w:val="Hyperlink"/>
          <w:lang w:val="fr-CA"/>
        </w:rPr>
        <w:t>handicap</w:t>
      </w:r>
      <w:r w:rsidR="00925412">
        <w:fldChar w:fldCharType="end"/>
      </w:r>
      <w:r w:rsidR="00925412" w:rsidRPr="00177154">
        <w:rPr>
          <w:lang w:val="fr-CA"/>
        </w:rPr>
        <w:t xml:space="preserve">, leur </w:t>
      </w:r>
      <w:r w:rsidR="0042165C">
        <w:fldChar w:fldCharType="begin"/>
      </w:r>
      <w:r w:rsidR="0042165C" w:rsidRPr="004C3A45">
        <w:rPr>
          <w:lang w:val="fr-CA"/>
        </w:rPr>
        <w:instrText>HYPERLINK "https://cihr-irsc.gc.ca/f/54487.html" \l "a13"</w:instrText>
      </w:r>
      <w:r w:rsidR="0042165C">
        <w:fldChar w:fldCharType="separate"/>
      </w:r>
      <w:r w:rsidR="0042165C" w:rsidRPr="0042165C">
        <w:rPr>
          <w:rStyle w:val="Hyperlink"/>
          <w:lang w:val="fr-CA"/>
        </w:rPr>
        <w:t>genre</w:t>
      </w:r>
      <w:r w:rsidR="0042165C">
        <w:fldChar w:fldCharType="end"/>
      </w:r>
      <w:r w:rsidR="00925412" w:rsidRPr="00177154">
        <w:rPr>
          <w:lang w:val="fr-CA"/>
        </w:rPr>
        <w:t xml:space="preserve">, leur origine ethnique ou leur </w:t>
      </w:r>
      <w:r w:rsidR="00925412">
        <w:fldChar w:fldCharType="begin"/>
      </w:r>
      <w:r w:rsidR="00925412" w:rsidRPr="004C3A45">
        <w:rPr>
          <w:lang w:val="fr-CA"/>
        </w:rPr>
        <w:instrText>HYPERLINK "https://cihr-irsc.gc.ca/f/54487.html" \l "a2"</w:instrText>
      </w:r>
      <w:r w:rsidR="00925412">
        <w:fldChar w:fldCharType="separate"/>
      </w:r>
      <w:r w:rsidR="00925412" w:rsidRPr="00177154">
        <w:rPr>
          <w:rStyle w:val="Hyperlink"/>
          <w:lang w:val="fr-CA"/>
        </w:rPr>
        <w:t>âge</w:t>
      </w:r>
      <w:r w:rsidR="00925412">
        <w:fldChar w:fldCharType="end"/>
      </w:r>
      <w:r w:rsidRPr="00177154">
        <w:rPr>
          <w:lang w:val="fr-CA"/>
        </w:rPr>
        <w:t xml:space="preserve">. </w:t>
      </w:r>
      <w:bookmarkStart w:id="240" w:name="lt_pId332"/>
      <w:bookmarkEnd w:id="239"/>
      <w:r w:rsidRPr="00177154">
        <w:rPr>
          <w:lang w:val="fr-CA"/>
        </w:rPr>
        <w:t>Par exemple, les personnes ayant un handicap non apparent doivent souvent réfléchir aux risques et aux avantages liés à la divulgation de leur handicap, car leurs collègues ou supérieurs hiérarchiques peuvent douter de leurs capacités de recherche ou de leur droit à bénéficier d’une aide à l’accessibilité.</w:t>
      </w:r>
      <w:bookmarkEnd w:id="240"/>
    </w:p>
    <w:p w14:paraId="0A9F7CEE" w14:textId="0F181B69" w:rsidR="003E7380" w:rsidRPr="00177154" w:rsidRDefault="003E7380" w:rsidP="0042795B">
      <w:pPr>
        <w:pStyle w:val="Heading1"/>
        <w:rPr>
          <w:lang w:val="fr-CA"/>
        </w:rPr>
      </w:pPr>
      <w:bookmarkStart w:id="241" w:name="lt_pId334"/>
      <w:r w:rsidRPr="00177154">
        <w:rPr>
          <w:lang w:val="fr-CA"/>
        </w:rPr>
        <w:t>3.</w:t>
      </w:r>
      <w:bookmarkStart w:id="242" w:name="lt_pId335"/>
      <w:bookmarkEnd w:id="241"/>
      <w:r w:rsidRPr="00177154">
        <w:rPr>
          <w:lang w:val="fr-CA"/>
        </w:rPr>
        <w:t xml:space="preserve"> Préjugés liés aux handicaps</w:t>
      </w:r>
      <w:bookmarkEnd w:id="242"/>
      <w:r w:rsidR="0042795B" w:rsidRPr="00177154">
        <w:rPr>
          <w:lang w:val="fr-CA"/>
        </w:rPr>
        <w:t xml:space="preserve"> 4</w:t>
      </w:r>
    </w:p>
    <w:p w14:paraId="25C68F7B" w14:textId="67CC8460" w:rsidR="003E7380" w:rsidRPr="00177154" w:rsidRDefault="003E7380" w:rsidP="00E174E6">
      <w:pPr>
        <w:rPr>
          <w:szCs w:val="22"/>
          <w:lang w:val="fr-CA"/>
        </w:rPr>
      </w:pPr>
      <w:bookmarkStart w:id="243" w:name="lt_pId336"/>
      <w:r w:rsidRPr="00177154">
        <w:rPr>
          <w:lang w:val="fr-CA"/>
        </w:rPr>
        <w:t xml:space="preserve">Les exigences en matière d’accessibilité pour les personnes en </w:t>
      </w:r>
      <w:hyperlink r:id="rId42" w:anchor="a17" w:history="1">
        <w:r w:rsidRPr="00E6212D">
          <w:rPr>
            <w:rStyle w:val="Hyperlink"/>
            <w:lang w:val="fr-CA"/>
          </w:rPr>
          <w:t>situation de handicap</w:t>
        </w:r>
      </w:hyperlink>
      <w:r w:rsidRPr="00177154">
        <w:rPr>
          <w:lang w:val="fr-CA"/>
        </w:rPr>
        <w:t xml:space="preserve"> varient considérablement dans le milieu de la recherche et sont parfois inexistantes ou incohérentes. </w:t>
      </w:r>
      <w:bookmarkStart w:id="244" w:name="lt_pId337"/>
      <w:bookmarkEnd w:id="243"/>
      <w:r w:rsidRPr="00177154">
        <w:rPr>
          <w:lang w:val="fr-CA"/>
        </w:rPr>
        <w:t xml:space="preserve">En l’absence de soutien, les chercheurs en situation de handicap doivent souvent consacrer leur temps personnel à plaider en faveur de mesures d’adaptation ou à rendre les environnements accessibles, ce qui les détourne de leurs recherches et peut les faire paraître moins productifs. </w:t>
      </w:r>
      <w:bookmarkStart w:id="245" w:name="lt_pId338"/>
      <w:bookmarkEnd w:id="244"/>
      <w:r w:rsidRPr="00177154">
        <w:rPr>
          <w:lang w:val="fr-CA"/>
        </w:rPr>
        <w:t>Même lorsque le soutien est disponible, les administrateurs peuvent ne pas disposer des connaissances nécessaires pour le mettre en œuvre efficacement.</w:t>
      </w:r>
      <w:bookmarkEnd w:id="245"/>
    </w:p>
    <w:p w14:paraId="4D7B2678" w14:textId="61FF2981" w:rsidR="003E7380" w:rsidRPr="00177154" w:rsidRDefault="003E7380" w:rsidP="0042795B">
      <w:pPr>
        <w:pStyle w:val="Heading1"/>
        <w:rPr>
          <w:lang w:val="fr-CA"/>
        </w:rPr>
      </w:pPr>
      <w:bookmarkStart w:id="246" w:name="lt_pId340"/>
      <w:r w:rsidRPr="00177154">
        <w:rPr>
          <w:lang w:val="fr-CA"/>
        </w:rPr>
        <w:t>3.</w:t>
      </w:r>
      <w:bookmarkStart w:id="247" w:name="lt_pId341"/>
      <w:bookmarkEnd w:id="246"/>
      <w:r w:rsidRPr="00177154">
        <w:rPr>
          <w:lang w:val="fr-CA"/>
        </w:rPr>
        <w:t xml:space="preserve"> Préjugés liés aux handicaps</w:t>
      </w:r>
      <w:bookmarkEnd w:id="247"/>
      <w:r w:rsidR="0042795B" w:rsidRPr="00177154">
        <w:rPr>
          <w:lang w:val="fr-CA"/>
        </w:rPr>
        <w:t xml:space="preserve"> 5</w:t>
      </w:r>
    </w:p>
    <w:p w14:paraId="087F99B2" w14:textId="329AB279" w:rsidR="003E7380" w:rsidRPr="00177154" w:rsidRDefault="003E7380" w:rsidP="00E6212D">
      <w:pPr>
        <w:jc w:val="both"/>
        <w:rPr>
          <w:lang w:val="fr-CA"/>
        </w:rPr>
      </w:pPr>
      <w:bookmarkStart w:id="248" w:name="lt_pId342"/>
      <w:r w:rsidRPr="00177154">
        <w:rPr>
          <w:lang w:val="fr-CA"/>
        </w:rPr>
        <w:t xml:space="preserve">Les personnes en </w:t>
      </w:r>
      <w:hyperlink r:id="rId43" w:anchor="a17" w:history="1">
        <w:r w:rsidRPr="00E6212D">
          <w:rPr>
            <w:rStyle w:val="Hyperlink"/>
            <w:lang w:val="fr-CA"/>
          </w:rPr>
          <w:t>situation de handicap</w:t>
        </w:r>
      </w:hyperlink>
      <w:r w:rsidRPr="00177154">
        <w:rPr>
          <w:lang w:val="fr-CA"/>
        </w:rPr>
        <w:t xml:space="preserve"> sont souvent laissées à elles-mêmes pour naviguer dans un système inaccessible, et le temps et les efforts que cela leur demande ne sont pas pris en compte dans l’évaluation de leur productivité.</w:t>
      </w:r>
      <w:bookmarkEnd w:id="248"/>
    </w:p>
    <w:p w14:paraId="26CCF794" w14:textId="533930B1" w:rsidR="0042795B" w:rsidRPr="00177154" w:rsidRDefault="0042795B" w:rsidP="0042795B">
      <w:pPr>
        <w:pStyle w:val="Heading1"/>
        <w:rPr>
          <w:rFonts w:ascii="Calibri" w:hAnsi="Calibri" w:cs="Calibri"/>
          <w:szCs w:val="22"/>
          <w:lang w:val="fr-CA"/>
        </w:rPr>
      </w:pPr>
      <w:r w:rsidRPr="00177154">
        <w:rPr>
          <w:lang w:val="fr-CA"/>
        </w:rPr>
        <w:t xml:space="preserve">Choix </w:t>
      </w:r>
      <w:r w:rsidR="009365F4">
        <w:rPr>
          <w:lang w:val="fr-CA"/>
        </w:rPr>
        <w:t>m</w:t>
      </w:r>
      <w:r w:rsidR="009365F4" w:rsidRPr="00177154">
        <w:rPr>
          <w:lang w:val="fr-CA"/>
        </w:rPr>
        <w:t xml:space="preserve">ultiple </w:t>
      </w:r>
      <w:r w:rsidRPr="00177154">
        <w:rPr>
          <w:lang w:val="fr-CA"/>
        </w:rPr>
        <w:t>5</w:t>
      </w:r>
    </w:p>
    <w:p w14:paraId="2237FBD0" w14:textId="77777777" w:rsidR="003E7380" w:rsidRPr="00177154" w:rsidRDefault="003E7380" w:rsidP="00E174E6">
      <w:pPr>
        <w:rPr>
          <w:lang w:val="fr-CA"/>
        </w:rPr>
      </w:pPr>
      <w:bookmarkStart w:id="249" w:name="lt_pId344"/>
      <w:r w:rsidRPr="00177154">
        <w:rPr>
          <w:lang w:val="fr-CA"/>
        </w:rPr>
        <w:t xml:space="preserve">Vous évaluez la candidature d’un candidat qui a terminé son stage postdoctoral en six ans dans le même établissement où il a obtenu son doctorat. </w:t>
      </w:r>
      <w:bookmarkStart w:id="250" w:name="lt_pId345"/>
      <w:bookmarkEnd w:id="249"/>
      <w:r w:rsidRPr="00177154">
        <w:rPr>
          <w:lang w:val="fr-CA"/>
        </w:rPr>
        <w:t xml:space="preserve">Dans la section sur l’avancement de carrière de sa candidature, le candidat a indiqué qu’il a dû passer fréquemment à des études à temps partiel et prendre un congé d’un semestre en raison de douleurs chroniques. </w:t>
      </w:r>
      <w:bookmarkStart w:id="251" w:name="lt_pId346"/>
      <w:bookmarkEnd w:id="250"/>
    </w:p>
    <w:p w14:paraId="58C40C3D" w14:textId="77777777" w:rsidR="003E7380" w:rsidRPr="00177154" w:rsidRDefault="003E7380" w:rsidP="00E174E6">
      <w:pPr>
        <w:rPr>
          <w:lang w:val="fr-CA"/>
        </w:rPr>
      </w:pPr>
      <w:r w:rsidRPr="00177154">
        <w:rPr>
          <w:lang w:val="fr-CA"/>
        </w:rPr>
        <w:lastRenderedPageBreak/>
        <w:t>Parmi les commentaires ci-dessous, lequel ne constituerait pas un préjugé?</w:t>
      </w:r>
      <w:bookmarkEnd w:id="251"/>
    </w:p>
    <w:p w14:paraId="74166A68" w14:textId="77777777" w:rsidR="003E7380" w:rsidRPr="00177154" w:rsidRDefault="003E7380" w:rsidP="00E30D4C">
      <w:pPr>
        <w:pStyle w:val="ListParagraph"/>
        <w:numPr>
          <w:ilvl w:val="0"/>
          <w:numId w:val="7"/>
        </w:numPr>
        <w:rPr>
          <w:lang w:val="fr-CA"/>
        </w:rPr>
      </w:pPr>
      <w:bookmarkStart w:id="252" w:name="lt_pId347"/>
      <w:r w:rsidRPr="00177154">
        <w:rPr>
          <w:lang w:val="fr-CA"/>
        </w:rPr>
        <w:t xml:space="preserve">Le candidat a terminé ses études postdoctorales dans le même établissement que son doctorat. </w:t>
      </w:r>
      <w:bookmarkStart w:id="253" w:name="lt_pId348"/>
      <w:bookmarkEnd w:id="252"/>
      <w:r w:rsidRPr="00177154">
        <w:rPr>
          <w:lang w:val="fr-CA"/>
        </w:rPr>
        <w:t>Cela montre un manque d’autonomie et un manque de volonté à diversifier son expérience de recherche.</w:t>
      </w:r>
      <w:bookmarkEnd w:id="253"/>
    </w:p>
    <w:p w14:paraId="1AFD075A" w14:textId="77777777" w:rsidR="003E7380" w:rsidRPr="00177154" w:rsidRDefault="003E7380" w:rsidP="00E30D4C">
      <w:pPr>
        <w:pStyle w:val="ListParagraph"/>
        <w:numPr>
          <w:ilvl w:val="0"/>
          <w:numId w:val="7"/>
        </w:numPr>
        <w:rPr>
          <w:lang w:val="fr-CA"/>
        </w:rPr>
      </w:pPr>
      <w:bookmarkStart w:id="254" w:name="lt_pId349"/>
      <w:r w:rsidRPr="00177154">
        <w:rPr>
          <w:lang w:val="fr-CA"/>
        </w:rPr>
        <w:t xml:space="preserve">Compte tenu de la période à temps partiel, le candidat n’a que quelques années d’expérience en recherche appliquée. </w:t>
      </w:r>
      <w:bookmarkStart w:id="255" w:name="lt_pId350"/>
      <w:bookmarkEnd w:id="254"/>
      <w:r w:rsidRPr="00177154">
        <w:rPr>
          <w:lang w:val="fr-CA"/>
        </w:rPr>
        <w:t xml:space="preserve">Sa capacité à mener à bien le projet n’est pas </w:t>
      </w:r>
      <w:proofErr w:type="gramStart"/>
      <w:r w:rsidRPr="00177154">
        <w:rPr>
          <w:lang w:val="fr-CA"/>
        </w:rPr>
        <w:t>démontrée</w:t>
      </w:r>
      <w:proofErr w:type="gramEnd"/>
      <w:r w:rsidRPr="00177154">
        <w:rPr>
          <w:lang w:val="fr-CA"/>
        </w:rPr>
        <w:t>.</w:t>
      </w:r>
      <w:bookmarkEnd w:id="255"/>
    </w:p>
    <w:p w14:paraId="780FCD00" w14:textId="77777777" w:rsidR="003E7380" w:rsidRPr="00177154" w:rsidRDefault="003E7380" w:rsidP="00E30D4C">
      <w:pPr>
        <w:pStyle w:val="ListParagraph"/>
        <w:numPr>
          <w:ilvl w:val="0"/>
          <w:numId w:val="7"/>
        </w:numPr>
        <w:rPr>
          <w:lang w:val="fr-CA"/>
        </w:rPr>
      </w:pPr>
      <w:bookmarkStart w:id="256" w:name="lt_pId351"/>
      <w:r w:rsidRPr="00177154">
        <w:rPr>
          <w:lang w:val="fr-CA"/>
        </w:rPr>
        <w:t xml:space="preserve">Le travail de laboratoire prévu dans la proposition nécessite de passer de longues heures debout. </w:t>
      </w:r>
      <w:bookmarkStart w:id="257" w:name="lt_pId352"/>
      <w:bookmarkEnd w:id="256"/>
      <w:r w:rsidRPr="00177154">
        <w:rPr>
          <w:lang w:val="fr-CA"/>
        </w:rPr>
        <w:t xml:space="preserve">Cela pourrait être impossible pour le candidat compte tenu de ses douleurs chroniques. </w:t>
      </w:r>
      <w:bookmarkEnd w:id="257"/>
    </w:p>
    <w:p w14:paraId="113879E1" w14:textId="77777777" w:rsidR="003E7380" w:rsidRPr="00177154" w:rsidRDefault="003E7380" w:rsidP="00E30D4C">
      <w:pPr>
        <w:pStyle w:val="ListParagraph"/>
        <w:numPr>
          <w:ilvl w:val="0"/>
          <w:numId w:val="7"/>
        </w:numPr>
        <w:rPr>
          <w:lang w:val="fr-CA"/>
        </w:rPr>
      </w:pPr>
      <w:bookmarkStart w:id="258" w:name="lt_pId353"/>
      <w:r w:rsidRPr="00177154">
        <w:rPr>
          <w:lang w:val="fr-CA"/>
        </w:rPr>
        <w:t>Le candidat n’a pas encore expliqué en quoi l’expérience acquise au cours des années de sa bourse lui confère les compétences nécessaires pour mener à bien cette recherche.</w:t>
      </w:r>
      <w:bookmarkEnd w:id="258"/>
      <w:r w:rsidRPr="00177154">
        <w:rPr>
          <w:lang w:val="fr-CA"/>
        </w:rPr>
        <w:t xml:space="preserve"> </w:t>
      </w:r>
    </w:p>
    <w:p w14:paraId="3EA87066" w14:textId="77777777" w:rsidR="003E7380" w:rsidRPr="00177154" w:rsidRDefault="003E7380" w:rsidP="00E174E6">
      <w:pPr>
        <w:rPr>
          <w:b/>
          <w:bCs/>
          <w:lang w:val="fr-CA"/>
        </w:rPr>
      </w:pPr>
      <w:bookmarkStart w:id="259" w:name="lt_pId354"/>
      <w:r w:rsidRPr="00177154">
        <w:rPr>
          <w:b/>
          <w:bCs/>
          <w:lang w:val="fr-CA"/>
        </w:rPr>
        <w:t xml:space="preserve">Explication (bonne réponse) : </w:t>
      </w:r>
      <w:bookmarkEnd w:id="259"/>
    </w:p>
    <w:p w14:paraId="5EECD3B7" w14:textId="77777777" w:rsidR="003E7380" w:rsidRPr="00177154" w:rsidRDefault="003E7380" w:rsidP="00E174E6">
      <w:pPr>
        <w:rPr>
          <w:lang w:val="fr-CA"/>
        </w:rPr>
      </w:pPr>
      <w:bookmarkStart w:id="260" w:name="lt_pId355"/>
      <w:r w:rsidRPr="00177154">
        <w:rPr>
          <w:lang w:val="fr-CA"/>
        </w:rPr>
        <w:t xml:space="preserve">Bien joué! </w:t>
      </w:r>
      <w:bookmarkStart w:id="261" w:name="lt_pId356"/>
      <w:bookmarkEnd w:id="260"/>
      <w:r w:rsidRPr="00177154">
        <w:rPr>
          <w:lang w:val="fr-CA"/>
        </w:rPr>
        <w:t>La bonne réponse est D.</w:t>
      </w:r>
      <w:bookmarkEnd w:id="261"/>
    </w:p>
    <w:p w14:paraId="3E830B71" w14:textId="77777777" w:rsidR="003E7380" w:rsidRPr="00177154" w:rsidRDefault="003E7380" w:rsidP="00E174E6">
      <w:pPr>
        <w:rPr>
          <w:lang w:val="fr-CA"/>
        </w:rPr>
      </w:pPr>
      <w:bookmarkStart w:id="262" w:name="lt_pId357"/>
      <w:r w:rsidRPr="00177154">
        <w:rPr>
          <w:lang w:val="fr-CA"/>
        </w:rPr>
        <w:t xml:space="preserve">Il s’agit de faire une évaluation valide et impartiale des compétences et de l’expérience pertinentes du candidat pendant les années de sa bourse au regard de son </w:t>
      </w:r>
      <w:bookmarkStart w:id="263" w:name="lt_pId358"/>
      <w:bookmarkEnd w:id="262"/>
      <w:r w:rsidRPr="00177154">
        <w:rPr>
          <w:lang w:val="fr-CA"/>
        </w:rPr>
        <w:t xml:space="preserve">projet de recherche. </w:t>
      </w:r>
      <w:bookmarkEnd w:id="263"/>
    </w:p>
    <w:p w14:paraId="445AC079" w14:textId="77777777" w:rsidR="003E7380" w:rsidRPr="00177154" w:rsidRDefault="003E7380" w:rsidP="00E174E6">
      <w:pPr>
        <w:rPr>
          <w:lang w:val="fr-CA"/>
        </w:rPr>
      </w:pPr>
      <w:bookmarkStart w:id="264" w:name="lt_pId359"/>
      <w:r w:rsidRPr="00177154">
        <w:rPr>
          <w:lang w:val="fr-CA"/>
        </w:rPr>
        <w:t xml:space="preserve">Ce constat ne repose pas sur des hypothèses fondées sur le handicap du candidat ou la durée de son stage postdoctoral; il ne porte pas un jugement discriminatoire ou invalidant. </w:t>
      </w:r>
      <w:bookmarkStart w:id="265" w:name="lt_pId360"/>
      <w:bookmarkEnd w:id="264"/>
      <w:r w:rsidRPr="00177154">
        <w:rPr>
          <w:lang w:val="fr-CA"/>
        </w:rPr>
        <w:t>On se concentre plutôt sur la démonstration par le candidat des compétences nécessaires pour le projet.</w:t>
      </w:r>
      <w:bookmarkEnd w:id="265"/>
    </w:p>
    <w:p w14:paraId="6896B44D" w14:textId="77777777" w:rsidR="003E7380" w:rsidRPr="00177154" w:rsidRDefault="003E7380" w:rsidP="00E174E6">
      <w:pPr>
        <w:rPr>
          <w:lang w:val="fr-CA"/>
        </w:rPr>
      </w:pPr>
      <w:bookmarkStart w:id="266" w:name="lt_pId361"/>
      <w:r w:rsidRPr="00177154">
        <w:rPr>
          <w:lang w:val="fr-CA"/>
        </w:rPr>
        <w:t>Cliquez sur l’écran pour continuer.</w:t>
      </w:r>
      <w:bookmarkEnd w:id="266"/>
    </w:p>
    <w:p w14:paraId="788FDFB6" w14:textId="77777777" w:rsidR="003E7380" w:rsidRPr="00177154" w:rsidRDefault="003E7380" w:rsidP="00E174E6">
      <w:pPr>
        <w:rPr>
          <w:b/>
          <w:bCs/>
          <w:lang w:val="fr-CA"/>
        </w:rPr>
      </w:pPr>
      <w:bookmarkStart w:id="267" w:name="lt_pId362"/>
      <w:r w:rsidRPr="00177154">
        <w:rPr>
          <w:b/>
          <w:bCs/>
          <w:lang w:val="fr-CA"/>
        </w:rPr>
        <w:t xml:space="preserve">Explication (mauvaise réponse) : </w:t>
      </w:r>
      <w:bookmarkEnd w:id="267"/>
    </w:p>
    <w:p w14:paraId="42863EFB" w14:textId="77777777" w:rsidR="003E7380" w:rsidRPr="00177154" w:rsidRDefault="003E7380" w:rsidP="00E174E6">
      <w:pPr>
        <w:rPr>
          <w:lang w:val="fr-CA"/>
        </w:rPr>
      </w:pPr>
      <w:bookmarkStart w:id="268" w:name="lt_pId363"/>
      <w:r w:rsidRPr="00177154">
        <w:rPr>
          <w:lang w:val="fr-CA"/>
        </w:rPr>
        <w:t>Bel effort</w:t>
      </w:r>
      <w:bookmarkStart w:id="269" w:name="lt_pId364"/>
      <w:bookmarkEnd w:id="268"/>
      <w:r w:rsidRPr="00177154">
        <w:rPr>
          <w:lang w:val="fr-CA"/>
        </w:rPr>
        <w:t>! Cependant, revoyons les options et le scénario.</w:t>
      </w:r>
      <w:bookmarkEnd w:id="269"/>
      <w:r w:rsidRPr="00177154">
        <w:rPr>
          <w:lang w:val="fr-CA"/>
        </w:rPr>
        <w:t xml:space="preserve"> </w:t>
      </w:r>
    </w:p>
    <w:p w14:paraId="332AF262" w14:textId="77777777" w:rsidR="003E7380" w:rsidRPr="00177154" w:rsidRDefault="003E7380" w:rsidP="00E174E6">
      <w:pPr>
        <w:rPr>
          <w:lang w:val="fr-CA"/>
        </w:rPr>
      </w:pPr>
      <w:bookmarkStart w:id="270" w:name="lt_pId365"/>
      <w:r w:rsidRPr="00177154">
        <w:rPr>
          <w:lang w:val="fr-CA"/>
        </w:rPr>
        <w:t>Il est important que l’évaluation soit axée sur l’expérience et les compétences pertinentes, plutôt que sur des hypothèses concernant la santé de la personne ou les mesures d’adaptation.</w:t>
      </w:r>
      <w:bookmarkEnd w:id="270"/>
      <w:r w:rsidRPr="00177154">
        <w:rPr>
          <w:lang w:val="fr-CA"/>
        </w:rPr>
        <w:t xml:space="preserve"> </w:t>
      </w:r>
      <w:bookmarkStart w:id="271" w:name="lt_pId366"/>
      <w:r w:rsidRPr="00177154">
        <w:rPr>
          <w:lang w:val="fr-CA"/>
        </w:rPr>
        <w:t>Cette réponse néglige le contexte plus large de la situation du candidat, car elle émet des hypothèses sur sa valeur ou sa contribution en fonction de son handicap.</w:t>
      </w:r>
      <w:bookmarkEnd w:id="271"/>
      <w:r w:rsidRPr="00177154">
        <w:rPr>
          <w:lang w:val="fr-CA"/>
        </w:rPr>
        <w:t xml:space="preserve"> </w:t>
      </w:r>
    </w:p>
    <w:p w14:paraId="11A17338" w14:textId="77777777" w:rsidR="003E7380" w:rsidRPr="00177154" w:rsidRDefault="003E7380" w:rsidP="00E174E6">
      <w:pPr>
        <w:rPr>
          <w:lang w:val="fr-CA"/>
        </w:rPr>
      </w:pPr>
      <w:bookmarkStart w:id="272" w:name="lt_pId367"/>
      <w:r w:rsidRPr="00177154">
        <w:rPr>
          <w:lang w:val="fr-CA"/>
        </w:rPr>
        <w:t>Assurez-vous de choisir une réponse qui ne tire pas de conclusions négatives sur le potentiel du candidat en raison de son handicap et qui n’impose pas d’attentes inappropriées, notamment par la remise en question des capacités physiques de la personne ou relativement au refus des mesures d’accessibilité raisonnables.</w:t>
      </w:r>
      <w:bookmarkEnd w:id="272"/>
    </w:p>
    <w:p w14:paraId="79CDE81B" w14:textId="77777777" w:rsidR="003E7380" w:rsidRPr="00177154" w:rsidRDefault="003E7380" w:rsidP="00E174E6">
      <w:pPr>
        <w:rPr>
          <w:rStyle w:val="normaltextrun"/>
          <w:lang w:val="fr-CA"/>
        </w:rPr>
      </w:pPr>
      <w:bookmarkStart w:id="273" w:name="lt_pId368"/>
      <w:r w:rsidRPr="00177154">
        <w:rPr>
          <w:rStyle w:val="normaltextrun"/>
          <w:lang w:val="fr-CA"/>
        </w:rPr>
        <w:lastRenderedPageBreak/>
        <w:t>Cliquez sur l’écran pour continuer.</w:t>
      </w:r>
      <w:bookmarkEnd w:id="273"/>
    </w:p>
    <w:p w14:paraId="25593EAA" w14:textId="6F3730DA" w:rsidR="003E7380" w:rsidRPr="00177154" w:rsidRDefault="003E7380" w:rsidP="0042795B">
      <w:pPr>
        <w:pStyle w:val="Heading1"/>
        <w:rPr>
          <w:lang w:val="fr-CA"/>
        </w:rPr>
      </w:pPr>
      <w:bookmarkStart w:id="274" w:name="lt_pId374"/>
      <w:r w:rsidRPr="00177154">
        <w:rPr>
          <w:lang w:val="fr-CA"/>
        </w:rPr>
        <w:t>4.</w:t>
      </w:r>
      <w:bookmarkStart w:id="275" w:name="lt_pId375"/>
      <w:bookmarkEnd w:id="274"/>
      <w:r w:rsidRPr="00177154">
        <w:rPr>
          <w:lang w:val="fr-CA"/>
        </w:rPr>
        <w:t>Préjugés linguistiques</w:t>
      </w:r>
      <w:bookmarkEnd w:id="275"/>
      <w:r w:rsidR="0042795B" w:rsidRPr="00177154">
        <w:rPr>
          <w:lang w:val="fr-CA"/>
        </w:rPr>
        <w:t xml:space="preserve"> 1</w:t>
      </w:r>
    </w:p>
    <w:bookmarkStart w:id="276" w:name="lt_pId373"/>
    <w:bookmarkStart w:id="277" w:name="lt_pId376"/>
    <w:p w14:paraId="6DEB8099" w14:textId="77777777" w:rsidR="007E2A8C" w:rsidRPr="00177154" w:rsidRDefault="007E2A8C" w:rsidP="007E2A8C">
      <w:pPr>
        <w:rPr>
          <w:lang w:val="fr-CA"/>
        </w:rPr>
      </w:pPr>
      <w:r w:rsidRPr="00177154">
        <w:rPr>
          <w:lang w:val="fr-CA"/>
        </w:rPr>
        <w:fldChar w:fldCharType="begin"/>
      </w:r>
      <w:r w:rsidRPr="00177154">
        <w:rPr>
          <w:lang w:val="fr-CA"/>
        </w:rPr>
        <w:instrText>HYPERLINK "https://cihr-irsc.gc.ca/f/54486.html" \l "a5"</w:instrText>
      </w:r>
      <w:r w:rsidRPr="00177154">
        <w:rPr>
          <w:lang w:val="fr-CA"/>
        </w:rPr>
      </w:r>
      <w:r w:rsidRPr="00177154">
        <w:rPr>
          <w:lang w:val="fr-CA"/>
        </w:rPr>
        <w:fldChar w:fldCharType="separate"/>
      </w:r>
      <w:r w:rsidRPr="00177154">
        <w:rPr>
          <w:rStyle w:val="Hyperlink"/>
          <w:lang w:val="fr-CA"/>
        </w:rPr>
        <w:t>Références</w:t>
      </w:r>
      <w:r w:rsidRPr="00177154">
        <w:rPr>
          <w:lang w:val="fr-CA"/>
        </w:rPr>
        <w:fldChar w:fldCharType="end"/>
      </w:r>
      <w:bookmarkEnd w:id="276"/>
    </w:p>
    <w:p w14:paraId="1FAD7CED" w14:textId="236CA062" w:rsidR="003E7380" w:rsidRPr="00177154" w:rsidRDefault="003E7380" w:rsidP="00E174E6">
      <w:pPr>
        <w:rPr>
          <w:lang w:val="fr-CA"/>
        </w:rPr>
      </w:pPr>
      <w:r w:rsidRPr="00177154">
        <w:rPr>
          <w:lang w:val="fr-CA"/>
        </w:rPr>
        <w:t xml:space="preserve">Bien que le Canada ait deux langues officielles, la plupart des recherches sont publiées et lues en anglais, ce qui désavantage les chercheurs et </w:t>
      </w:r>
      <w:bookmarkStart w:id="278" w:name="lt_pId377"/>
      <w:bookmarkEnd w:id="277"/>
      <w:r w:rsidR="00C377AB" w:rsidRPr="00177154">
        <w:rPr>
          <w:lang w:val="fr-CA"/>
        </w:rPr>
        <w:t xml:space="preserve">les </w:t>
      </w:r>
      <w:hyperlink r:id="rId44" w:anchor="a6" w:history="1">
        <w:r w:rsidR="00C377AB" w:rsidRPr="00177154">
          <w:rPr>
            <w:rStyle w:val="Hyperlink"/>
            <w:lang w:val="fr-CA"/>
          </w:rPr>
          <w:t>communautés francophones</w:t>
        </w:r>
      </w:hyperlink>
      <w:r w:rsidR="00C377AB" w:rsidRPr="00177154">
        <w:rPr>
          <w:lang w:val="fr-CA"/>
        </w:rPr>
        <w:t xml:space="preserve">. </w:t>
      </w:r>
      <w:r w:rsidRPr="00177154">
        <w:rPr>
          <w:lang w:val="fr-CA"/>
        </w:rPr>
        <w:t xml:space="preserve">Dans l’ensemble du système de recherche, les revues publiées dans des langues autres que l’anglais ont souvent moins de visibilité et d’impact. </w:t>
      </w:r>
      <w:bookmarkStart w:id="279" w:name="lt_pId378"/>
      <w:bookmarkEnd w:id="278"/>
      <w:r w:rsidRPr="00177154">
        <w:rPr>
          <w:lang w:val="fr-CA"/>
        </w:rPr>
        <w:t>Cela peut entraîner des biais dans les processus d’évaluation.</w:t>
      </w:r>
      <w:bookmarkEnd w:id="279"/>
    </w:p>
    <w:p w14:paraId="5D9E4226" w14:textId="33D82B1C" w:rsidR="003E7380" w:rsidRPr="00177154" w:rsidRDefault="003E7380" w:rsidP="0042795B">
      <w:pPr>
        <w:pStyle w:val="Heading1"/>
        <w:rPr>
          <w:lang w:val="fr-CA"/>
        </w:rPr>
      </w:pPr>
      <w:bookmarkStart w:id="280" w:name="lt_pId380"/>
      <w:r w:rsidRPr="00177154">
        <w:rPr>
          <w:lang w:val="fr-CA"/>
        </w:rPr>
        <w:t>4.</w:t>
      </w:r>
      <w:bookmarkStart w:id="281" w:name="lt_pId381"/>
      <w:bookmarkEnd w:id="280"/>
      <w:r w:rsidRPr="00177154">
        <w:rPr>
          <w:lang w:val="fr-CA"/>
        </w:rPr>
        <w:t xml:space="preserve"> Préjugés linguistiques </w:t>
      </w:r>
      <w:bookmarkEnd w:id="281"/>
      <w:r w:rsidR="0042795B" w:rsidRPr="00177154">
        <w:rPr>
          <w:lang w:val="fr-CA"/>
        </w:rPr>
        <w:t>2</w:t>
      </w:r>
    </w:p>
    <w:p w14:paraId="268E719F" w14:textId="00998FE4" w:rsidR="003E7380" w:rsidRPr="00177154" w:rsidRDefault="003E7380" w:rsidP="00E174E6">
      <w:pPr>
        <w:rPr>
          <w:szCs w:val="22"/>
          <w:lang w:val="fr-CA"/>
        </w:rPr>
      </w:pPr>
      <w:bookmarkStart w:id="282" w:name="lt_pId382"/>
      <w:r w:rsidRPr="00177154">
        <w:rPr>
          <w:rStyle w:val="normaltextrun"/>
          <w:rFonts w:cs="Calibri"/>
          <w:lang w:val="fr-CA"/>
        </w:rPr>
        <w:t xml:space="preserve">Les chercheurs francophones qui travaillent en français sont confrontés à des obstacles qui ne sont pas pris en compte dans les mesures traditionnelles de productivité. </w:t>
      </w:r>
      <w:bookmarkStart w:id="283" w:name="lt_pId383"/>
      <w:bookmarkEnd w:id="282"/>
      <w:r w:rsidRPr="00177154">
        <w:rPr>
          <w:rStyle w:val="normaltextrun"/>
          <w:rFonts w:cs="Calibri"/>
          <w:lang w:val="fr-CA"/>
        </w:rPr>
        <w:t xml:space="preserve">Comme le recommande </w:t>
      </w:r>
      <w:hyperlink r:id="rId45" w:history="1">
        <w:r w:rsidRPr="00177154">
          <w:rPr>
            <w:rStyle w:val="Hyperlink"/>
            <w:rFonts w:cs="Calibri"/>
            <w:lang w:val="fr-CA"/>
          </w:rPr>
          <w:t>la DORA</w:t>
        </w:r>
      </w:hyperlink>
      <w:r w:rsidRPr="00177154">
        <w:rPr>
          <w:rStyle w:val="normaltextrun"/>
          <w:rFonts w:cs="Calibri"/>
          <w:lang w:val="fr-CA"/>
        </w:rPr>
        <w:t xml:space="preserve">, l’évaluation de la productivité devrait tenir compte d’un éventail de formes de contribution et de retombées, au-delà des publications. </w:t>
      </w:r>
      <w:bookmarkStart w:id="284" w:name="lt_pId384"/>
      <w:bookmarkEnd w:id="283"/>
      <w:r w:rsidRPr="00177154">
        <w:rPr>
          <w:rStyle w:val="normaltextrun"/>
          <w:rFonts w:cs="Calibri"/>
          <w:lang w:val="fr-CA"/>
        </w:rPr>
        <w:t>Elle devrait également tenir compte du contexte ayant pu influencer les progrès d’un candidat.</w:t>
      </w:r>
      <w:bookmarkEnd w:id="284"/>
    </w:p>
    <w:p w14:paraId="41A9A2B3" w14:textId="5E2D9058" w:rsidR="003E7380" w:rsidRPr="00177154" w:rsidRDefault="003E7380" w:rsidP="0042795B">
      <w:pPr>
        <w:pStyle w:val="Heading1"/>
        <w:rPr>
          <w:lang w:val="fr-CA"/>
        </w:rPr>
      </w:pPr>
      <w:bookmarkStart w:id="285" w:name="lt_pId386"/>
      <w:r w:rsidRPr="00177154">
        <w:rPr>
          <w:lang w:val="fr-CA"/>
        </w:rPr>
        <w:t>4.</w:t>
      </w:r>
      <w:bookmarkStart w:id="286" w:name="lt_pId387"/>
      <w:bookmarkEnd w:id="285"/>
      <w:r w:rsidRPr="00177154">
        <w:rPr>
          <w:lang w:val="fr-CA"/>
        </w:rPr>
        <w:t xml:space="preserve"> Préjugés linguistiques </w:t>
      </w:r>
      <w:bookmarkEnd w:id="286"/>
      <w:r w:rsidR="0042795B" w:rsidRPr="00177154">
        <w:rPr>
          <w:lang w:val="fr-CA"/>
        </w:rPr>
        <w:t>3</w:t>
      </w:r>
    </w:p>
    <w:p w14:paraId="23D380E0" w14:textId="46F55913" w:rsidR="003E7380" w:rsidRPr="00177154" w:rsidRDefault="003E7380" w:rsidP="00E174E6">
      <w:pPr>
        <w:rPr>
          <w:szCs w:val="22"/>
          <w:lang w:val="fr-CA"/>
        </w:rPr>
      </w:pPr>
      <w:bookmarkStart w:id="287" w:name="lt_pId388"/>
      <w:r w:rsidRPr="00177154">
        <w:rPr>
          <w:rStyle w:val="normaltextrun"/>
          <w:rFonts w:cs="Calibri"/>
          <w:lang w:val="fr-CA"/>
        </w:rPr>
        <w:t xml:space="preserve">De plus, les recherches publiées uniquement en anglais peuvent ne pas correspondre aux besoins et aux identités culturelles propres aux </w:t>
      </w:r>
      <w:hyperlink r:id="rId46" w:anchor="a6" w:history="1">
        <w:r w:rsidRPr="00C617A9">
          <w:rPr>
            <w:rStyle w:val="Hyperlink"/>
            <w:rFonts w:cs="Calibri"/>
            <w:lang w:val="fr-CA"/>
          </w:rPr>
          <w:t>communautés francophones</w:t>
        </w:r>
      </w:hyperlink>
      <w:r w:rsidRPr="00177154">
        <w:rPr>
          <w:rStyle w:val="normaltextrun"/>
          <w:rFonts w:cs="Calibri"/>
          <w:lang w:val="fr-CA"/>
        </w:rPr>
        <w:t>, ce qui nuit à leur pertinence pour l’ensemble de la population canadienne.</w:t>
      </w:r>
      <w:bookmarkEnd w:id="287"/>
    </w:p>
    <w:p w14:paraId="0403CEAC" w14:textId="34FC10E9" w:rsidR="003E7380" w:rsidRPr="00177154" w:rsidRDefault="003E7380" w:rsidP="0042795B">
      <w:pPr>
        <w:pStyle w:val="Heading1"/>
        <w:rPr>
          <w:lang w:val="fr-CA"/>
        </w:rPr>
      </w:pPr>
      <w:bookmarkStart w:id="288" w:name="lt_pId390"/>
      <w:r w:rsidRPr="00177154">
        <w:rPr>
          <w:lang w:val="fr-CA"/>
        </w:rPr>
        <w:t>4.</w:t>
      </w:r>
      <w:bookmarkStart w:id="289" w:name="lt_pId391"/>
      <w:bookmarkEnd w:id="288"/>
      <w:r w:rsidRPr="00177154">
        <w:rPr>
          <w:lang w:val="fr-CA"/>
        </w:rPr>
        <w:t xml:space="preserve"> Préjugés linguistiques </w:t>
      </w:r>
      <w:bookmarkEnd w:id="289"/>
      <w:r w:rsidR="0042795B" w:rsidRPr="00177154">
        <w:rPr>
          <w:lang w:val="fr-CA"/>
        </w:rPr>
        <w:t>4</w:t>
      </w:r>
    </w:p>
    <w:p w14:paraId="1902B5C5" w14:textId="54C01E01" w:rsidR="003E7380" w:rsidRPr="00177154" w:rsidRDefault="003E7380" w:rsidP="00E174E6">
      <w:pPr>
        <w:rPr>
          <w:szCs w:val="22"/>
          <w:lang w:val="fr-CA"/>
        </w:rPr>
      </w:pPr>
      <w:bookmarkStart w:id="290" w:name="lt_pId392"/>
      <w:r w:rsidRPr="00177154">
        <w:rPr>
          <w:rStyle w:val="normaltextrun"/>
          <w:rFonts w:eastAsia="Times New Roman" w:cs="Calibri"/>
          <w:lang w:val="fr-CA" w:eastAsia="en-CA"/>
        </w:rPr>
        <w:t xml:space="preserve">Les préjugés linguistiques peuvent avoir deux types d’impact sur l’évaluation par les pairs et l’évaluation au mérite. </w:t>
      </w:r>
      <w:bookmarkStart w:id="291" w:name="lt_pId393"/>
      <w:bookmarkEnd w:id="290"/>
      <w:r w:rsidRPr="00177154">
        <w:rPr>
          <w:rStyle w:val="normaltextrun"/>
          <w:rFonts w:eastAsia="Times New Roman" w:cs="Calibri"/>
          <w:lang w:val="fr-CA" w:eastAsia="en-CA"/>
        </w:rPr>
        <w:t xml:space="preserve">Premièrement, le degré de compétence des évaluateurs dans leur deuxième ou troisième langue, et leur confiance à cet égard, peuvent nuire à leur capacité de bien évaluer les demandes. </w:t>
      </w:r>
      <w:bookmarkStart w:id="292" w:name="lt_pId394"/>
      <w:bookmarkEnd w:id="291"/>
      <w:r w:rsidRPr="00177154">
        <w:rPr>
          <w:rStyle w:val="normaltextrun"/>
          <w:rFonts w:eastAsia="Times New Roman" w:cs="Calibri"/>
          <w:lang w:val="fr-CA" w:eastAsia="en-CA"/>
        </w:rPr>
        <w:t xml:space="preserve">Un manque de confiance peut les amener à préférer évaluer dans leur langue première. </w:t>
      </w:r>
      <w:bookmarkStart w:id="293" w:name="lt_pId395"/>
      <w:bookmarkEnd w:id="292"/>
      <w:r w:rsidRPr="00177154">
        <w:rPr>
          <w:rStyle w:val="normaltextrun"/>
          <w:rFonts w:eastAsia="Times New Roman" w:cs="Calibri"/>
          <w:lang w:val="fr-CA" w:eastAsia="en-CA"/>
        </w:rPr>
        <w:t xml:space="preserve">Deuxièmement, les demandes peuvent avoir été rédigées dans une langue autre que la langue maternelle du chercheur. </w:t>
      </w:r>
      <w:bookmarkStart w:id="294" w:name="lt_pId396"/>
      <w:bookmarkEnd w:id="293"/>
      <w:r w:rsidRPr="00177154">
        <w:rPr>
          <w:rStyle w:val="normaltextrun"/>
          <w:rFonts w:eastAsia="Times New Roman" w:cs="Calibri"/>
          <w:lang w:val="fr-CA" w:eastAsia="en-CA"/>
        </w:rPr>
        <w:t xml:space="preserve">La pression de devoir écrire dans une langue qui n’est pas leur langue maternelle peut empêcher les chercheurs de s’exprimer pleinement et de transmettre efficacement leurs idées. </w:t>
      </w:r>
      <w:bookmarkStart w:id="295" w:name="lt_pId397"/>
      <w:bookmarkEnd w:id="294"/>
      <w:r w:rsidRPr="00177154">
        <w:rPr>
          <w:rStyle w:val="normaltextrun"/>
          <w:rFonts w:eastAsia="Times New Roman" w:cs="Calibri"/>
          <w:lang w:val="fr-CA" w:eastAsia="en-CA"/>
        </w:rPr>
        <w:t xml:space="preserve">Cela vaut également pour les personnes qui communiquent principalement dans la langue </w:t>
      </w:r>
      <w:r w:rsidRPr="00177154">
        <w:rPr>
          <w:rStyle w:val="normaltextrun"/>
          <w:rFonts w:eastAsia="Times New Roman" w:cs="Calibri"/>
          <w:lang w:val="fr-CA" w:eastAsia="en-CA"/>
        </w:rPr>
        <w:lastRenderedPageBreak/>
        <w:t>des signes québécoise (</w:t>
      </w:r>
      <w:r w:rsidRPr="00177154">
        <w:rPr>
          <w:rStyle w:val="normaltextrun"/>
          <w:rFonts w:eastAsia="Times New Roman" w:cs="Calibri"/>
          <w:i/>
          <w:iCs/>
          <w:lang w:val="fr-CA" w:eastAsia="en-CA"/>
        </w:rPr>
        <w:t>LSQ</w:t>
      </w:r>
      <w:r w:rsidRPr="00177154">
        <w:rPr>
          <w:rFonts w:eastAsia="Times New Roman" w:cs="Calibri"/>
          <w:lang w:val="fr-CA" w:eastAsia="en-CA"/>
        </w:rPr>
        <w:t>), la langue des signes autochtone ou</w:t>
      </w:r>
      <w:r w:rsidRPr="00177154">
        <w:rPr>
          <w:rStyle w:val="normaltextrun"/>
          <w:rFonts w:eastAsia="Times New Roman" w:cs="Calibri"/>
          <w:lang w:val="fr-CA" w:eastAsia="en-CA"/>
        </w:rPr>
        <w:t xml:space="preserve"> la langue des signes américaine (</w:t>
      </w:r>
      <w:r w:rsidRPr="00177154">
        <w:rPr>
          <w:rStyle w:val="normaltextrun"/>
          <w:rFonts w:eastAsia="Times New Roman" w:cs="Calibri"/>
          <w:i/>
          <w:iCs/>
          <w:lang w:val="fr-CA" w:eastAsia="en-CA"/>
        </w:rPr>
        <w:t xml:space="preserve">American </w:t>
      </w:r>
      <w:proofErr w:type="spellStart"/>
      <w:r w:rsidRPr="00177154">
        <w:rPr>
          <w:rStyle w:val="normaltextrun"/>
          <w:rFonts w:eastAsia="Times New Roman" w:cs="Calibri"/>
          <w:i/>
          <w:iCs/>
          <w:lang w:val="fr-CA" w:eastAsia="en-CA"/>
        </w:rPr>
        <w:t>Sign</w:t>
      </w:r>
      <w:proofErr w:type="spellEnd"/>
      <w:r w:rsidRPr="00177154">
        <w:rPr>
          <w:rStyle w:val="normaltextrun"/>
          <w:rFonts w:eastAsia="Times New Roman" w:cs="Calibri"/>
          <w:i/>
          <w:iCs/>
          <w:lang w:val="fr-CA" w:eastAsia="en-CA"/>
        </w:rPr>
        <w:t xml:space="preserve"> </w:t>
      </w:r>
      <w:proofErr w:type="spellStart"/>
      <w:r w:rsidRPr="00177154">
        <w:rPr>
          <w:rStyle w:val="normaltextrun"/>
          <w:rFonts w:eastAsia="Times New Roman" w:cs="Calibri"/>
          <w:i/>
          <w:iCs/>
          <w:lang w:val="fr-CA" w:eastAsia="en-CA"/>
        </w:rPr>
        <w:t>Language</w:t>
      </w:r>
      <w:proofErr w:type="spellEnd"/>
      <w:r w:rsidRPr="00177154">
        <w:rPr>
          <w:rStyle w:val="normaltextrun"/>
          <w:rFonts w:eastAsia="Times New Roman" w:cs="Calibri"/>
          <w:lang w:val="fr-CA" w:eastAsia="en-CA"/>
        </w:rPr>
        <w:t>).</w:t>
      </w:r>
      <w:bookmarkEnd w:id="295"/>
    </w:p>
    <w:p w14:paraId="18041638" w14:textId="1B9F18B4" w:rsidR="003E7380" w:rsidRPr="00177154" w:rsidRDefault="003E7380" w:rsidP="0042795B">
      <w:pPr>
        <w:pStyle w:val="Heading1"/>
        <w:rPr>
          <w:lang w:val="fr-CA"/>
        </w:rPr>
      </w:pPr>
      <w:bookmarkStart w:id="296" w:name="lt_pId399"/>
      <w:r w:rsidRPr="00177154">
        <w:rPr>
          <w:lang w:val="fr-CA"/>
        </w:rPr>
        <w:t>4.</w:t>
      </w:r>
      <w:bookmarkStart w:id="297" w:name="lt_pId400"/>
      <w:bookmarkEnd w:id="296"/>
      <w:r w:rsidRPr="00177154">
        <w:rPr>
          <w:lang w:val="fr-CA"/>
        </w:rPr>
        <w:t xml:space="preserve"> Préjugés linguistiques </w:t>
      </w:r>
      <w:bookmarkEnd w:id="297"/>
      <w:r w:rsidR="0042795B" w:rsidRPr="00177154">
        <w:rPr>
          <w:lang w:val="fr-CA"/>
        </w:rPr>
        <w:t>5</w:t>
      </w:r>
    </w:p>
    <w:p w14:paraId="6FD5190A" w14:textId="7A14EFC6" w:rsidR="003E7380" w:rsidRPr="00177154" w:rsidRDefault="003E7380" w:rsidP="00E174E6">
      <w:pPr>
        <w:rPr>
          <w:szCs w:val="22"/>
          <w:lang w:val="fr-CA"/>
        </w:rPr>
      </w:pPr>
      <w:bookmarkStart w:id="298" w:name="lt_pId401"/>
      <w:r w:rsidRPr="00177154">
        <w:rPr>
          <w:rStyle w:val="normaltextrun"/>
          <w:rFonts w:eastAsia="Times New Roman" w:cs="Calibri"/>
          <w:lang w:val="fr-CA" w:eastAsia="en-CA"/>
        </w:rPr>
        <w:t xml:space="preserve">Les comités d’évaluation devraient se concentrer sur la recherche elle-même plutôt que sur les détails linguistiques, en reconnaissant la valeur de </w:t>
      </w:r>
      <w:r w:rsidR="004E2C5E" w:rsidRPr="00177154">
        <w:rPr>
          <w:rStyle w:val="normaltextrun"/>
          <w:rFonts w:eastAsia="Times New Roman" w:cs="Calibri"/>
          <w:lang w:val="fr-CA" w:eastAsia="en-CA"/>
        </w:rPr>
        <w:t xml:space="preserve">la </w:t>
      </w:r>
      <w:hyperlink r:id="rId47" w:anchor="a8" w:history="1">
        <w:r w:rsidR="004E2C5E" w:rsidRPr="00177154">
          <w:rPr>
            <w:rStyle w:val="Hyperlink"/>
            <w:rFonts w:eastAsia="Times New Roman" w:cs="Calibri"/>
            <w:lang w:val="fr-CA" w:eastAsia="en-CA"/>
          </w:rPr>
          <w:t>diversité</w:t>
        </w:r>
      </w:hyperlink>
      <w:r w:rsidR="004E2C5E" w:rsidRPr="00177154">
        <w:rPr>
          <w:rStyle w:val="normaltextrun"/>
          <w:rFonts w:eastAsia="Times New Roman" w:cs="Calibri"/>
          <w:lang w:val="fr-CA" w:eastAsia="en-CA"/>
        </w:rPr>
        <w:t xml:space="preserve"> linguistique </w:t>
      </w:r>
      <w:r w:rsidRPr="00177154">
        <w:rPr>
          <w:rStyle w:val="normaltextrun"/>
          <w:rFonts w:eastAsia="Times New Roman" w:cs="Calibri"/>
          <w:lang w:val="fr-CA" w:eastAsia="en-CA"/>
        </w:rPr>
        <w:t>pour le renforcement de la recherche canadienne.</w:t>
      </w:r>
      <w:bookmarkEnd w:id="298"/>
    </w:p>
    <w:p w14:paraId="5CC08221" w14:textId="63B229EC" w:rsidR="003E7380" w:rsidRPr="00177154" w:rsidRDefault="003E7380" w:rsidP="0042795B">
      <w:pPr>
        <w:pStyle w:val="Heading1"/>
        <w:rPr>
          <w:lang w:val="fr-CA"/>
        </w:rPr>
      </w:pPr>
      <w:bookmarkStart w:id="299" w:name="lt_pId404"/>
      <w:r w:rsidRPr="00177154">
        <w:rPr>
          <w:lang w:val="fr-CA"/>
        </w:rPr>
        <w:t>5.</w:t>
      </w:r>
      <w:bookmarkStart w:id="300" w:name="lt_pId405"/>
      <w:bookmarkEnd w:id="299"/>
      <w:r w:rsidRPr="00177154">
        <w:rPr>
          <w:lang w:val="fr-CA"/>
        </w:rPr>
        <w:t xml:space="preserve"> Préjugés liés à l’affiliation à un établissement</w:t>
      </w:r>
      <w:bookmarkEnd w:id="300"/>
      <w:r w:rsidR="0042795B" w:rsidRPr="00177154">
        <w:rPr>
          <w:lang w:val="fr-CA"/>
        </w:rPr>
        <w:t xml:space="preserve"> 1</w:t>
      </w:r>
    </w:p>
    <w:bookmarkStart w:id="301" w:name="lt_pId403"/>
    <w:bookmarkStart w:id="302" w:name="lt_pId406"/>
    <w:p w14:paraId="358384ED" w14:textId="77777777" w:rsidR="00944599" w:rsidRPr="00177154" w:rsidRDefault="00944599" w:rsidP="00944599">
      <w:pPr>
        <w:rPr>
          <w:lang w:val="fr-CA"/>
        </w:rPr>
      </w:pPr>
      <w:r w:rsidRPr="00177154">
        <w:rPr>
          <w:lang w:val="fr-CA"/>
        </w:rPr>
        <w:fldChar w:fldCharType="begin"/>
      </w:r>
      <w:r w:rsidRPr="00177154">
        <w:rPr>
          <w:lang w:val="fr-CA"/>
        </w:rPr>
        <w:instrText>HYPERLINK "https://cihr-irsc.gc.ca/f/54486.html" \l "a5"</w:instrText>
      </w:r>
      <w:r w:rsidRPr="00177154">
        <w:rPr>
          <w:lang w:val="fr-CA"/>
        </w:rPr>
      </w:r>
      <w:r w:rsidRPr="00177154">
        <w:rPr>
          <w:lang w:val="fr-CA"/>
        </w:rPr>
        <w:fldChar w:fldCharType="separate"/>
      </w:r>
      <w:r w:rsidRPr="00177154">
        <w:rPr>
          <w:rStyle w:val="Hyperlink"/>
          <w:lang w:val="fr-CA"/>
        </w:rPr>
        <w:t>Références</w:t>
      </w:r>
      <w:r w:rsidRPr="00177154">
        <w:rPr>
          <w:lang w:val="fr-CA"/>
        </w:rPr>
        <w:fldChar w:fldCharType="end"/>
      </w:r>
      <w:bookmarkEnd w:id="301"/>
    </w:p>
    <w:p w14:paraId="34DCED99" w14:textId="556F5D2B" w:rsidR="003E7380" w:rsidRPr="00177154" w:rsidRDefault="003E7380" w:rsidP="00E174E6">
      <w:pPr>
        <w:rPr>
          <w:lang w:val="fr-CA"/>
        </w:rPr>
      </w:pPr>
      <w:r w:rsidRPr="00177154">
        <w:rPr>
          <w:lang w:val="fr-CA"/>
        </w:rPr>
        <w:t xml:space="preserve">Méfiez-vous des suppositions concernant la disponibilité des ressources, la taille de l’établissement ou sa capacité à collaborer. </w:t>
      </w:r>
      <w:bookmarkStart w:id="303" w:name="lt_pId407"/>
      <w:bookmarkEnd w:id="302"/>
      <w:r w:rsidRPr="00177154">
        <w:rPr>
          <w:lang w:val="fr-CA"/>
        </w:rPr>
        <w:t xml:space="preserve">Les préjugés liés à l’affiliation à un établissement peuvent découler de divers facteurs comme la taille, le type, la langue, le prestige perçu ou la tradition de recherche dudit établissement. </w:t>
      </w:r>
      <w:bookmarkStart w:id="304" w:name="lt_pId408"/>
      <w:bookmarkEnd w:id="303"/>
      <w:r w:rsidRPr="00177154">
        <w:rPr>
          <w:lang w:val="fr-CA"/>
        </w:rPr>
        <w:t>Ces préjugés peuvent conduire à négliger des propositions prometteuses émanant d’établissements plus petits ou à favoriser celles provenant d’établissements plus grands et plus renommés.</w:t>
      </w:r>
      <w:bookmarkEnd w:id="304"/>
    </w:p>
    <w:p w14:paraId="1A93E7C4" w14:textId="08200E41" w:rsidR="003E7380" w:rsidRPr="00177154" w:rsidRDefault="003E7380" w:rsidP="0042795B">
      <w:pPr>
        <w:pStyle w:val="Heading1"/>
        <w:rPr>
          <w:lang w:val="fr-CA"/>
        </w:rPr>
      </w:pPr>
      <w:bookmarkStart w:id="305" w:name="lt_pId410"/>
      <w:r w:rsidRPr="00177154">
        <w:rPr>
          <w:lang w:val="fr-CA"/>
        </w:rPr>
        <w:t>5.</w:t>
      </w:r>
      <w:bookmarkStart w:id="306" w:name="lt_pId411"/>
      <w:bookmarkEnd w:id="305"/>
      <w:r w:rsidRPr="00177154">
        <w:rPr>
          <w:lang w:val="fr-CA"/>
        </w:rPr>
        <w:t xml:space="preserve"> Préjugés liés à l’affiliation à un établissement</w:t>
      </w:r>
      <w:bookmarkEnd w:id="306"/>
      <w:r w:rsidR="0042795B" w:rsidRPr="00177154">
        <w:rPr>
          <w:lang w:val="fr-CA"/>
        </w:rPr>
        <w:t xml:space="preserve"> 2</w:t>
      </w:r>
    </w:p>
    <w:p w14:paraId="242806F5" w14:textId="352E25C9" w:rsidR="003E7380" w:rsidRPr="00177154" w:rsidRDefault="003E7380" w:rsidP="00E174E6">
      <w:pPr>
        <w:rPr>
          <w:szCs w:val="22"/>
          <w:lang w:val="fr-CA"/>
        </w:rPr>
      </w:pPr>
      <w:bookmarkStart w:id="307" w:name="lt_pId412"/>
      <w:r w:rsidRPr="00177154">
        <w:rPr>
          <w:lang w:val="fr-CA"/>
        </w:rPr>
        <w:t xml:space="preserve">Selon la nature du programme, l’accès à des ressources et à des environnements collaboratifs au-delà de l’établissement d’accueil peut être essentiel pour atteindre les objectifs du projet. </w:t>
      </w:r>
      <w:bookmarkStart w:id="308" w:name="lt_pId413"/>
      <w:bookmarkEnd w:id="307"/>
      <w:r w:rsidRPr="00177154">
        <w:rPr>
          <w:lang w:val="fr-CA"/>
        </w:rPr>
        <w:t>Les pairs évaluateurs doivent déterminer si le candidat a décrit l’infrastructure nécessaire (p. ex. les environnements ou les plateformes en réseau) pour que la recherche soit couronnée de succès.</w:t>
      </w:r>
      <w:bookmarkEnd w:id="308"/>
    </w:p>
    <w:p w14:paraId="2E9FB195" w14:textId="68FF96DC" w:rsidR="003E7380" w:rsidRPr="00177154" w:rsidRDefault="003E7380" w:rsidP="006F2CA0">
      <w:pPr>
        <w:pStyle w:val="Heading1"/>
        <w:rPr>
          <w:lang w:val="fr-CA"/>
        </w:rPr>
      </w:pPr>
      <w:bookmarkStart w:id="309" w:name="lt_pId415"/>
      <w:r w:rsidRPr="00177154">
        <w:rPr>
          <w:lang w:val="fr-CA"/>
        </w:rPr>
        <w:t>5.</w:t>
      </w:r>
      <w:bookmarkStart w:id="310" w:name="lt_pId416"/>
      <w:bookmarkEnd w:id="309"/>
      <w:r w:rsidRPr="00177154">
        <w:rPr>
          <w:lang w:val="fr-CA"/>
        </w:rPr>
        <w:t xml:space="preserve"> Préjugés liés à l’affiliation à un établissement</w:t>
      </w:r>
      <w:bookmarkEnd w:id="310"/>
      <w:r w:rsidR="006F2CA0" w:rsidRPr="00177154">
        <w:rPr>
          <w:lang w:val="fr-CA"/>
        </w:rPr>
        <w:t xml:space="preserve"> 3</w:t>
      </w:r>
    </w:p>
    <w:p w14:paraId="3F6C6D08" w14:textId="77777777" w:rsidR="003E7380" w:rsidRPr="00177154" w:rsidRDefault="003E7380" w:rsidP="00E174E6">
      <w:pPr>
        <w:rPr>
          <w:lang w:val="fr-CA"/>
        </w:rPr>
      </w:pPr>
      <w:bookmarkStart w:id="311" w:name="lt_pId417"/>
      <w:r w:rsidRPr="00177154">
        <w:rPr>
          <w:lang w:val="fr-CA"/>
        </w:rPr>
        <w:t>Agir afin de réduire ces préjugés garantit un processus d’évaluation juste et équitable, qui donnera la priorité au financement de projets innovants, indépendamment de la taille ou du statut de l’établissement.</w:t>
      </w:r>
      <w:bookmarkEnd w:id="311"/>
    </w:p>
    <w:p w14:paraId="5A419852" w14:textId="20487D44" w:rsidR="006F2CA0" w:rsidRPr="00177154" w:rsidRDefault="006F2CA0" w:rsidP="006F2CA0">
      <w:pPr>
        <w:pStyle w:val="Heading1"/>
        <w:rPr>
          <w:szCs w:val="22"/>
          <w:lang w:val="fr-CA"/>
        </w:rPr>
      </w:pPr>
      <w:r w:rsidRPr="00177154">
        <w:rPr>
          <w:lang w:val="fr-CA"/>
        </w:rPr>
        <w:t xml:space="preserve">Choix </w:t>
      </w:r>
      <w:r w:rsidR="00314378">
        <w:rPr>
          <w:lang w:val="fr-CA"/>
        </w:rPr>
        <w:t>m</w:t>
      </w:r>
      <w:r w:rsidR="00314378" w:rsidRPr="00177154">
        <w:rPr>
          <w:lang w:val="fr-CA"/>
        </w:rPr>
        <w:t xml:space="preserve">ultiple </w:t>
      </w:r>
      <w:r w:rsidRPr="00177154">
        <w:rPr>
          <w:lang w:val="fr-CA"/>
        </w:rPr>
        <w:t>6</w:t>
      </w:r>
    </w:p>
    <w:p w14:paraId="3D9FA5D2" w14:textId="77777777" w:rsidR="003E7380" w:rsidRPr="00177154" w:rsidRDefault="003E7380" w:rsidP="00E174E6">
      <w:pPr>
        <w:rPr>
          <w:lang w:val="fr-CA"/>
        </w:rPr>
      </w:pPr>
      <w:bookmarkStart w:id="312" w:name="lt_pId419"/>
      <w:r w:rsidRPr="00177154">
        <w:rPr>
          <w:lang w:val="fr-CA"/>
        </w:rPr>
        <w:lastRenderedPageBreak/>
        <w:t>Une proposition de recherche sur l’insécurité alimentaire dans les populations rurales a été soumise par une chercheuse affiliée à un grand établissement.</w:t>
      </w:r>
      <w:bookmarkStart w:id="313" w:name="lt_pId420"/>
      <w:bookmarkEnd w:id="312"/>
      <w:r w:rsidRPr="00177154">
        <w:rPr>
          <w:lang w:val="fr-CA"/>
        </w:rPr>
        <w:t xml:space="preserve"> Il s’agit d’un projet ambitieux qui vise à mener un sondage auprès d’individus dans plusieurs provinces. </w:t>
      </w:r>
      <w:bookmarkStart w:id="314" w:name="lt_pId421"/>
      <w:bookmarkEnd w:id="313"/>
      <w:r w:rsidRPr="00177154">
        <w:rPr>
          <w:lang w:val="fr-CA"/>
        </w:rPr>
        <w:t>Malheureusement, la candidate n’a pas indiqué si elle disposait des ressources nécessaires pour mener à bien la recherche proposée, de l’expertise requise pour évaluer les données du sondage, ou d’ententes de collaboration avec des établissements situés dans d’autres provinces.</w:t>
      </w:r>
      <w:bookmarkStart w:id="315" w:name="lt_pId422"/>
      <w:bookmarkEnd w:id="314"/>
    </w:p>
    <w:p w14:paraId="30A941EE" w14:textId="77777777" w:rsidR="003E7380" w:rsidRPr="00177154" w:rsidRDefault="003E7380" w:rsidP="00E174E6">
      <w:pPr>
        <w:rPr>
          <w:lang w:val="fr-CA"/>
        </w:rPr>
      </w:pPr>
      <w:r w:rsidRPr="00177154">
        <w:rPr>
          <w:lang w:val="fr-CA"/>
        </w:rPr>
        <w:t>Laquelle des réponses suivantes n’est pas influencée par des préjugés?</w:t>
      </w:r>
      <w:bookmarkEnd w:id="315"/>
      <w:r w:rsidRPr="00177154">
        <w:rPr>
          <w:lang w:val="fr-CA"/>
        </w:rPr>
        <w:t xml:space="preserve"> </w:t>
      </w:r>
    </w:p>
    <w:p w14:paraId="68531CBA" w14:textId="77777777" w:rsidR="003E7380" w:rsidRPr="00177154" w:rsidRDefault="003E7380" w:rsidP="00E30D4C">
      <w:pPr>
        <w:pStyle w:val="ListParagraph"/>
        <w:numPr>
          <w:ilvl w:val="0"/>
          <w:numId w:val="8"/>
        </w:numPr>
        <w:rPr>
          <w:lang w:val="fr-CA"/>
        </w:rPr>
      </w:pPr>
      <w:bookmarkStart w:id="316" w:name="lt_pId423"/>
      <w:r w:rsidRPr="00177154">
        <w:rPr>
          <w:lang w:val="fr-CA"/>
        </w:rPr>
        <w:t>Compte tenu de la taille importante de l’établissement, la candidate dispose probablement de la formation et de l’expérience requises et elle se qualifie donc pour cette subvention.</w:t>
      </w:r>
      <w:bookmarkEnd w:id="316"/>
      <w:r w:rsidRPr="00177154">
        <w:rPr>
          <w:lang w:val="fr-CA"/>
        </w:rPr>
        <w:t xml:space="preserve"> </w:t>
      </w:r>
    </w:p>
    <w:p w14:paraId="57820088" w14:textId="77777777" w:rsidR="003E7380" w:rsidRPr="00177154" w:rsidRDefault="003E7380" w:rsidP="00E30D4C">
      <w:pPr>
        <w:pStyle w:val="ListParagraph"/>
        <w:numPr>
          <w:ilvl w:val="0"/>
          <w:numId w:val="8"/>
        </w:numPr>
        <w:rPr>
          <w:lang w:val="fr-CA"/>
        </w:rPr>
      </w:pPr>
      <w:bookmarkStart w:id="317" w:name="lt_pId424"/>
      <w:bookmarkEnd w:id="317"/>
      <w:r w:rsidRPr="00177154">
        <w:rPr>
          <w:lang w:val="fr-CA"/>
        </w:rPr>
        <w:t>Vu sa taille, l’établissement entretient assurément des liens avec des parties prenantes qui rendront possible la conduite de la recherche proposée.</w:t>
      </w:r>
    </w:p>
    <w:p w14:paraId="315B5000" w14:textId="77777777" w:rsidR="003E7380" w:rsidRPr="00177154" w:rsidRDefault="003E7380" w:rsidP="00E30D4C">
      <w:pPr>
        <w:pStyle w:val="ListParagraph"/>
        <w:numPr>
          <w:ilvl w:val="0"/>
          <w:numId w:val="8"/>
        </w:numPr>
        <w:rPr>
          <w:lang w:val="fr-CA"/>
        </w:rPr>
      </w:pPr>
      <w:bookmarkStart w:id="318" w:name="lt_pId425"/>
      <w:r w:rsidRPr="00177154">
        <w:rPr>
          <w:lang w:val="fr-CA"/>
        </w:rPr>
        <w:t xml:space="preserve">La candidate n’a pas démontré qu’elle avait les ressources nécessaires pour soutenir sa recherche, dans son établissement ou ailleurs. </w:t>
      </w:r>
      <w:bookmarkEnd w:id="318"/>
    </w:p>
    <w:p w14:paraId="1718EDBD" w14:textId="77777777" w:rsidR="003E7380" w:rsidRPr="00177154" w:rsidRDefault="003E7380" w:rsidP="00E30D4C">
      <w:pPr>
        <w:pStyle w:val="ListParagraph"/>
        <w:numPr>
          <w:ilvl w:val="0"/>
          <w:numId w:val="8"/>
        </w:numPr>
        <w:rPr>
          <w:lang w:val="fr-CA"/>
        </w:rPr>
      </w:pPr>
      <w:bookmarkStart w:id="319" w:name="lt_pId426"/>
      <w:r w:rsidRPr="00177154">
        <w:rPr>
          <w:lang w:val="fr-CA"/>
        </w:rPr>
        <w:t>L’établissement serait en mesure de soutenir à lui seul la portée de la proposition, à condition que la candidate décrive comment les données du sondage seront analysées.</w:t>
      </w:r>
      <w:bookmarkEnd w:id="319"/>
    </w:p>
    <w:p w14:paraId="3265280E" w14:textId="77777777" w:rsidR="003E7380" w:rsidRPr="00177154" w:rsidRDefault="003E7380" w:rsidP="00E174E6">
      <w:pPr>
        <w:rPr>
          <w:b/>
          <w:bCs/>
          <w:lang w:val="fr-CA"/>
        </w:rPr>
      </w:pPr>
      <w:bookmarkStart w:id="320" w:name="lt_pId427"/>
      <w:r w:rsidRPr="00177154">
        <w:rPr>
          <w:b/>
          <w:bCs/>
          <w:lang w:val="fr-CA"/>
        </w:rPr>
        <w:t xml:space="preserve">Explication (bonne réponse) : </w:t>
      </w:r>
      <w:bookmarkEnd w:id="320"/>
    </w:p>
    <w:p w14:paraId="6DBE63FF" w14:textId="77777777" w:rsidR="003E7380" w:rsidRPr="00177154" w:rsidRDefault="003E7380" w:rsidP="00E174E6">
      <w:pPr>
        <w:rPr>
          <w:lang w:val="fr-CA"/>
        </w:rPr>
      </w:pPr>
      <w:bookmarkStart w:id="321" w:name="lt_pId428"/>
      <w:r w:rsidRPr="00177154">
        <w:rPr>
          <w:lang w:val="fr-CA"/>
        </w:rPr>
        <w:t>Bien joué</w:t>
      </w:r>
      <w:bookmarkStart w:id="322" w:name="lt_pId429"/>
      <w:bookmarkEnd w:id="321"/>
      <w:r w:rsidRPr="00177154">
        <w:rPr>
          <w:lang w:val="fr-CA"/>
        </w:rPr>
        <w:t>! La bonne réponse est C.</w:t>
      </w:r>
      <w:bookmarkEnd w:id="322"/>
    </w:p>
    <w:p w14:paraId="3C0F0F58" w14:textId="77777777" w:rsidR="003E7380" w:rsidRPr="00177154" w:rsidRDefault="003E7380" w:rsidP="00E174E6">
      <w:pPr>
        <w:rPr>
          <w:lang w:val="fr-CA"/>
        </w:rPr>
      </w:pPr>
      <w:bookmarkStart w:id="323" w:name="lt_pId430"/>
      <w:r w:rsidRPr="00177154">
        <w:rPr>
          <w:lang w:val="fr-CA"/>
        </w:rPr>
        <w:t xml:space="preserve">Les grands établissements ne forment pas nécessairement des personnes qualifiées et ne disposent pas toujours des ressources ou des relations nécessaires pour soutenir des projets de recherche ambitieux à grande échelle. </w:t>
      </w:r>
      <w:bookmarkEnd w:id="323"/>
    </w:p>
    <w:p w14:paraId="28CC776A" w14:textId="77777777" w:rsidR="003E7380" w:rsidRPr="00177154" w:rsidRDefault="003E7380" w:rsidP="00E174E6">
      <w:pPr>
        <w:rPr>
          <w:lang w:val="fr-CA"/>
        </w:rPr>
      </w:pPr>
      <w:bookmarkStart w:id="324" w:name="lt_pId431"/>
      <w:r w:rsidRPr="00177154">
        <w:rPr>
          <w:lang w:val="fr-CA"/>
        </w:rPr>
        <w:t>La candidate doit dresser une liste détaillée des ressources dont elle dispose pour mener à bien le sondage et des ententes conclues avec ses collaborateurs, en plus de démontrer que son équipe possède l’expertise nécessaire pour analyser les données.</w:t>
      </w:r>
      <w:bookmarkEnd w:id="324"/>
    </w:p>
    <w:p w14:paraId="470DEC2F" w14:textId="77777777" w:rsidR="003E7380" w:rsidRPr="00177154" w:rsidRDefault="003E7380" w:rsidP="00E174E6">
      <w:pPr>
        <w:rPr>
          <w:lang w:val="fr-CA"/>
        </w:rPr>
      </w:pPr>
      <w:bookmarkStart w:id="325" w:name="lt_pId432"/>
      <w:r w:rsidRPr="00177154">
        <w:rPr>
          <w:lang w:val="fr-CA"/>
        </w:rPr>
        <w:t>Cliquez sur l’écran pour continuer.</w:t>
      </w:r>
      <w:bookmarkEnd w:id="325"/>
    </w:p>
    <w:p w14:paraId="7C2A9645" w14:textId="77777777" w:rsidR="003E7380" w:rsidRPr="00177154" w:rsidRDefault="003E7380" w:rsidP="00E174E6">
      <w:pPr>
        <w:rPr>
          <w:b/>
          <w:bCs/>
          <w:lang w:val="fr-CA"/>
        </w:rPr>
      </w:pPr>
      <w:bookmarkStart w:id="326" w:name="lt_pId433"/>
      <w:r w:rsidRPr="00177154">
        <w:rPr>
          <w:b/>
          <w:bCs/>
          <w:lang w:val="fr-CA"/>
        </w:rPr>
        <w:t>Explication (mauvaise réponse) :</w:t>
      </w:r>
      <w:bookmarkEnd w:id="326"/>
      <w:r w:rsidRPr="00177154">
        <w:rPr>
          <w:b/>
          <w:bCs/>
          <w:lang w:val="fr-CA"/>
        </w:rPr>
        <w:t xml:space="preserve"> </w:t>
      </w:r>
    </w:p>
    <w:p w14:paraId="08D3D50C" w14:textId="77777777" w:rsidR="003E7380" w:rsidRPr="00177154" w:rsidRDefault="003E7380" w:rsidP="00E174E6">
      <w:pPr>
        <w:rPr>
          <w:lang w:val="fr-CA"/>
        </w:rPr>
      </w:pPr>
      <w:bookmarkStart w:id="327" w:name="lt_pId434"/>
      <w:r w:rsidRPr="00177154">
        <w:rPr>
          <w:lang w:val="fr-CA"/>
        </w:rPr>
        <w:t>Bel effort</w:t>
      </w:r>
      <w:bookmarkStart w:id="328" w:name="lt_pId435"/>
      <w:bookmarkEnd w:id="327"/>
      <w:r w:rsidRPr="00177154">
        <w:rPr>
          <w:lang w:val="fr-CA"/>
        </w:rPr>
        <w:t>! Cependant, revoyons les options et le scénario.</w:t>
      </w:r>
      <w:bookmarkEnd w:id="328"/>
      <w:r w:rsidRPr="00177154">
        <w:rPr>
          <w:lang w:val="fr-CA"/>
        </w:rPr>
        <w:t xml:space="preserve"> </w:t>
      </w:r>
    </w:p>
    <w:p w14:paraId="41A0EA20" w14:textId="77777777" w:rsidR="003E7380" w:rsidRPr="00177154" w:rsidRDefault="003E7380" w:rsidP="00E174E6">
      <w:pPr>
        <w:rPr>
          <w:lang w:val="fr-CA"/>
        </w:rPr>
      </w:pPr>
      <w:bookmarkStart w:id="329" w:name="lt_pId436"/>
      <w:r w:rsidRPr="00177154">
        <w:rPr>
          <w:lang w:val="fr-CA"/>
        </w:rPr>
        <w:t>Cette réponse démontre une hypothèse biaisée selon laquelle les grands établissements forment toujours des personnes qualifiées et disposent des ressources ou des relations nécessaires pour soutenir des projets de recherche ambitieux à grande échelle.</w:t>
      </w:r>
      <w:bookmarkEnd w:id="329"/>
    </w:p>
    <w:p w14:paraId="5542B360" w14:textId="77777777" w:rsidR="003E7380" w:rsidRPr="00177154" w:rsidRDefault="003E7380" w:rsidP="00E174E6">
      <w:pPr>
        <w:rPr>
          <w:lang w:val="fr-CA"/>
        </w:rPr>
      </w:pPr>
      <w:bookmarkStart w:id="330" w:name="lt_pId437"/>
      <w:r w:rsidRPr="00177154">
        <w:rPr>
          <w:lang w:val="fr-CA"/>
        </w:rPr>
        <w:lastRenderedPageBreak/>
        <w:t>Cliquez sur l’écran pour continuer.</w:t>
      </w:r>
      <w:bookmarkEnd w:id="330"/>
    </w:p>
    <w:p w14:paraId="3ACA492A" w14:textId="35CB895A" w:rsidR="003E7380" w:rsidRPr="00177154" w:rsidRDefault="003E7380" w:rsidP="006F2CA0">
      <w:pPr>
        <w:pStyle w:val="Heading1"/>
        <w:rPr>
          <w:lang w:val="fr-CA"/>
        </w:rPr>
      </w:pPr>
      <w:bookmarkStart w:id="331" w:name="lt_pId443"/>
      <w:r w:rsidRPr="00177154">
        <w:rPr>
          <w:lang w:val="fr-CA"/>
        </w:rPr>
        <w:t>6.</w:t>
      </w:r>
      <w:bookmarkStart w:id="332" w:name="lt_pId444"/>
      <w:bookmarkEnd w:id="331"/>
      <w:r w:rsidRPr="00177154">
        <w:rPr>
          <w:lang w:val="fr-CA"/>
        </w:rPr>
        <w:t xml:space="preserve"> Préjugés liés à l’âge</w:t>
      </w:r>
      <w:bookmarkEnd w:id="332"/>
      <w:r w:rsidR="006F2CA0" w:rsidRPr="00177154">
        <w:rPr>
          <w:lang w:val="fr-CA"/>
        </w:rPr>
        <w:t xml:space="preserve"> 1</w:t>
      </w:r>
    </w:p>
    <w:bookmarkStart w:id="333" w:name="lt_pId445"/>
    <w:p w14:paraId="61550BD0" w14:textId="77777777" w:rsidR="00AD6420" w:rsidRPr="00177154" w:rsidRDefault="00AD6420" w:rsidP="00AD6420">
      <w:pPr>
        <w:rPr>
          <w:lang w:val="fr-CA"/>
        </w:rPr>
      </w:pPr>
      <w:r w:rsidRPr="00177154">
        <w:rPr>
          <w:lang w:val="fr-CA"/>
        </w:rPr>
        <w:fldChar w:fldCharType="begin"/>
      </w:r>
      <w:r w:rsidRPr="00177154">
        <w:rPr>
          <w:lang w:val="fr-CA"/>
        </w:rPr>
        <w:instrText>HYPERLINK "https://cihr-irsc.gc.ca/f/54486.html" \l "a5"</w:instrText>
      </w:r>
      <w:r w:rsidRPr="00177154">
        <w:rPr>
          <w:lang w:val="fr-CA"/>
        </w:rPr>
      </w:r>
      <w:r w:rsidRPr="00177154">
        <w:rPr>
          <w:lang w:val="fr-CA"/>
        </w:rPr>
        <w:fldChar w:fldCharType="separate"/>
      </w:r>
      <w:r w:rsidRPr="00177154">
        <w:rPr>
          <w:rStyle w:val="Hyperlink"/>
          <w:lang w:val="fr-CA"/>
        </w:rPr>
        <w:t>Références</w:t>
      </w:r>
      <w:r w:rsidRPr="00177154">
        <w:rPr>
          <w:lang w:val="fr-CA"/>
        </w:rPr>
        <w:fldChar w:fldCharType="end"/>
      </w:r>
    </w:p>
    <w:p w14:paraId="4071F04C" w14:textId="5716F4CC" w:rsidR="003E7380" w:rsidRPr="00177154" w:rsidRDefault="003E7380" w:rsidP="00E174E6">
      <w:pPr>
        <w:rPr>
          <w:szCs w:val="22"/>
          <w:lang w:val="fr-CA"/>
        </w:rPr>
      </w:pPr>
      <w:r w:rsidRPr="00177154">
        <w:rPr>
          <w:lang w:val="fr-CA"/>
        </w:rPr>
        <w:t xml:space="preserve">Les préjugés liés à l’âge sont la prédisposition à penser, ressentir et agir d’une certaine manière envers des personnes en fonction de leur âge. </w:t>
      </w:r>
      <w:bookmarkStart w:id="334" w:name="lt_pId446"/>
      <w:bookmarkEnd w:id="333"/>
      <w:r w:rsidRPr="00177154">
        <w:rPr>
          <w:lang w:val="fr-CA"/>
        </w:rPr>
        <w:t xml:space="preserve">Ces préjugés découlent souvent du concept </w:t>
      </w:r>
      <w:r w:rsidR="006C238B" w:rsidRPr="00177154">
        <w:rPr>
          <w:lang w:val="fr-CA"/>
        </w:rPr>
        <w:t xml:space="preserve">de </w:t>
      </w:r>
      <w:hyperlink r:id="rId48" w:anchor="a2" w:history="1">
        <w:r w:rsidR="006C238B" w:rsidRPr="00177154">
          <w:rPr>
            <w:rStyle w:val="Hyperlink"/>
            <w:lang w:val="fr-CA"/>
          </w:rPr>
          <w:t>l’âgisme</w:t>
        </w:r>
      </w:hyperlink>
      <w:r w:rsidRPr="00177154">
        <w:rPr>
          <w:lang w:val="fr-CA"/>
        </w:rPr>
        <w:t xml:space="preserve">, qui consiste à croire que certains groupes d’âge sont intrinsèquement déficients. </w:t>
      </w:r>
      <w:bookmarkEnd w:id="334"/>
    </w:p>
    <w:p w14:paraId="6E1C6B7F" w14:textId="538D42C3" w:rsidR="003E7380" w:rsidRPr="00177154" w:rsidRDefault="003E7380" w:rsidP="006F2CA0">
      <w:pPr>
        <w:pStyle w:val="Heading1"/>
        <w:rPr>
          <w:lang w:val="fr-CA"/>
        </w:rPr>
      </w:pPr>
      <w:bookmarkStart w:id="335" w:name="lt_pId448"/>
      <w:r w:rsidRPr="00177154">
        <w:rPr>
          <w:lang w:val="fr-CA"/>
        </w:rPr>
        <w:t>6.</w:t>
      </w:r>
      <w:bookmarkStart w:id="336" w:name="lt_pId449"/>
      <w:bookmarkEnd w:id="335"/>
      <w:r w:rsidRPr="00177154">
        <w:rPr>
          <w:lang w:val="fr-CA"/>
        </w:rPr>
        <w:t xml:space="preserve"> Préjugés liés à l’âge</w:t>
      </w:r>
      <w:bookmarkEnd w:id="336"/>
      <w:r w:rsidRPr="00177154">
        <w:rPr>
          <w:lang w:val="fr-CA"/>
        </w:rPr>
        <w:t xml:space="preserve"> </w:t>
      </w:r>
      <w:r w:rsidR="006F2CA0" w:rsidRPr="00177154">
        <w:rPr>
          <w:lang w:val="fr-CA"/>
        </w:rPr>
        <w:t>2</w:t>
      </w:r>
    </w:p>
    <w:p w14:paraId="76461192" w14:textId="024F1BBD" w:rsidR="003E7380" w:rsidRPr="00177154" w:rsidRDefault="003E7380" w:rsidP="00E174E6">
      <w:pPr>
        <w:rPr>
          <w:szCs w:val="22"/>
          <w:lang w:val="fr-CA"/>
        </w:rPr>
      </w:pPr>
      <w:bookmarkStart w:id="337" w:name="lt_pId450"/>
      <w:r w:rsidRPr="00177154">
        <w:rPr>
          <w:lang w:val="fr-CA"/>
        </w:rPr>
        <w:t xml:space="preserve">Les préjugés liés à l’âge peuvent influencer l’évaluation par les pairs de plusieurs façons. </w:t>
      </w:r>
      <w:bookmarkStart w:id="338" w:name="lt_pId451"/>
      <w:bookmarkEnd w:id="337"/>
      <w:r w:rsidRPr="00177154">
        <w:rPr>
          <w:lang w:val="fr-CA"/>
        </w:rPr>
        <w:t xml:space="preserve">Par exemple, lorsque l’âge d’un candidat n’est pas évident, les évaluateurs peuvent émettre des hypothèses sur son expérience et sa légitimité dans le domaine, ce qui pourrait désavantager ou favoriser injustement le candidat. </w:t>
      </w:r>
      <w:bookmarkStart w:id="339" w:name="lt_pId452"/>
      <w:bookmarkEnd w:id="338"/>
      <w:r w:rsidRPr="00177154">
        <w:rPr>
          <w:lang w:val="fr-CA"/>
        </w:rPr>
        <w:t>Les jeunes chercheurs peuvent être perçus comme moins aptes à mener des projets de recherche ambitieux ou complexes.</w:t>
      </w:r>
      <w:bookmarkStart w:id="340" w:name="lt_pId453"/>
      <w:bookmarkEnd w:id="339"/>
      <w:r w:rsidR="006F2CA0" w:rsidRPr="00177154">
        <w:rPr>
          <w:lang w:val="fr-CA"/>
        </w:rPr>
        <w:t xml:space="preserve"> </w:t>
      </w:r>
      <w:r w:rsidRPr="00177154">
        <w:rPr>
          <w:lang w:val="fr-CA"/>
        </w:rPr>
        <w:t>Les chercheurs plus âgés peuvent être confrontés à un certain scepticisme quant à leur capacité à innover ou à s’adapter à de nouvelles méthodologies.</w:t>
      </w:r>
      <w:bookmarkEnd w:id="340"/>
    </w:p>
    <w:p w14:paraId="6ADAB0B7" w14:textId="0E752CD1" w:rsidR="003E7380" w:rsidRPr="00177154" w:rsidRDefault="003E7380" w:rsidP="006F2CA0">
      <w:pPr>
        <w:pStyle w:val="Heading1"/>
        <w:rPr>
          <w:lang w:val="fr-CA"/>
        </w:rPr>
      </w:pPr>
      <w:bookmarkStart w:id="341" w:name="lt_pId456"/>
      <w:r w:rsidRPr="00177154">
        <w:rPr>
          <w:lang w:val="fr-CA"/>
        </w:rPr>
        <w:t>7.</w:t>
      </w:r>
      <w:bookmarkStart w:id="342" w:name="lt_pId457"/>
      <w:bookmarkEnd w:id="341"/>
      <w:r w:rsidRPr="00177154">
        <w:rPr>
          <w:lang w:val="fr-CA"/>
        </w:rPr>
        <w:t xml:space="preserve"> Préjugés liés au stade de carrière</w:t>
      </w:r>
      <w:bookmarkEnd w:id="342"/>
      <w:r w:rsidR="006F2CA0" w:rsidRPr="00177154">
        <w:rPr>
          <w:lang w:val="fr-CA"/>
        </w:rPr>
        <w:t xml:space="preserve"> 1</w:t>
      </w:r>
    </w:p>
    <w:bookmarkStart w:id="343" w:name="lt_pId458"/>
    <w:p w14:paraId="15D68C3C" w14:textId="77777777" w:rsidR="00CF4F3D" w:rsidRPr="00177154" w:rsidRDefault="00CF4F3D" w:rsidP="00CF4F3D">
      <w:pPr>
        <w:rPr>
          <w:lang w:val="fr-CA"/>
        </w:rPr>
      </w:pPr>
      <w:r w:rsidRPr="00177154">
        <w:rPr>
          <w:lang w:val="fr-CA"/>
        </w:rPr>
        <w:fldChar w:fldCharType="begin"/>
      </w:r>
      <w:r w:rsidRPr="00177154">
        <w:rPr>
          <w:lang w:val="fr-CA"/>
        </w:rPr>
        <w:instrText>HYPERLINK "https://cihr-irsc.gc.ca/f/54486.html" \l "a5"</w:instrText>
      </w:r>
      <w:r w:rsidRPr="00177154">
        <w:rPr>
          <w:lang w:val="fr-CA"/>
        </w:rPr>
      </w:r>
      <w:r w:rsidRPr="00177154">
        <w:rPr>
          <w:lang w:val="fr-CA"/>
        </w:rPr>
        <w:fldChar w:fldCharType="separate"/>
      </w:r>
      <w:r w:rsidRPr="00177154">
        <w:rPr>
          <w:rStyle w:val="Hyperlink"/>
          <w:lang w:val="fr-CA"/>
        </w:rPr>
        <w:t>Références</w:t>
      </w:r>
      <w:r w:rsidRPr="00177154">
        <w:rPr>
          <w:lang w:val="fr-CA"/>
        </w:rPr>
        <w:fldChar w:fldCharType="end"/>
      </w:r>
    </w:p>
    <w:p w14:paraId="62BA582F" w14:textId="2F762D46" w:rsidR="003E7380" w:rsidRPr="00177154" w:rsidRDefault="003E7380" w:rsidP="00E174E6">
      <w:pPr>
        <w:rPr>
          <w:szCs w:val="22"/>
          <w:lang w:val="fr-CA"/>
        </w:rPr>
      </w:pPr>
      <w:r w:rsidRPr="00177154">
        <w:rPr>
          <w:lang w:val="fr-CA"/>
        </w:rPr>
        <w:t xml:space="preserve">Les préjugés liés au stade de carrière peuvent grandement influencer les décisions de financement et la productivité en recherche. </w:t>
      </w:r>
      <w:bookmarkEnd w:id="343"/>
    </w:p>
    <w:p w14:paraId="21D5FF15" w14:textId="7900A2E0" w:rsidR="003E7380" w:rsidRPr="00177154" w:rsidRDefault="003E7380" w:rsidP="006F2CA0">
      <w:pPr>
        <w:pStyle w:val="Heading1"/>
        <w:rPr>
          <w:lang w:val="fr-CA"/>
        </w:rPr>
      </w:pPr>
      <w:bookmarkStart w:id="344" w:name="lt_pId460"/>
      <w:r w:rsidRPr="00177154">
        <w:rPr>
          <w:lang w:val="fr-CA"/>
        </w:rPr>
        <w:t>7.</w:t>
      </w:r>
      <w:bookmarkStart w:id="345" w:name="lt_pId461"/>
      <w:bookmarkEnd w:id="344"/>
      <w:r w:rsidRPr="00177154">
        <w:rPr>
          <w:lang w:val="fr-CA"/>
        </w:rPr>
        <w:t xml:space="preserve"> Préjugés liés au stade de carrière</w:t>
      </w:r>
      <w:bookmarkEnd w:id="345"/>
      <w:r w:rsidRPr="00177154">
        <w:rPr>
          <w:lang w:val="fr-CA"/>
        </w:rPr>
        <w:t xml:space="preserve"> </w:t>
      </w:r>
      <w:r w:rsidR="006F2CA0" w:rsidRPr="00177154">
        <w:rPr>
          <w:lang w:val="fr-CA"/>
        </w:rPr>
        <w:t>2</w:t>
      </w:r>
    </w:p>
    <w:p w14:paraId="1CDA60BF" w14:textId="1F533CEA" w:rsidR="003E7380" w:rsidRPr="00177154" w:rsidRDefault="003E7380" w:rsidP="00E174E6">
      <w:pPr>
        <w:rPr>
          <w:szCs w:val="22"/>
          <w:lang w:val="fr-CA"/>
        </w:rPr>
      </w:pPr>
      <w:bookmarkStart w:id="346" w:name="lt_pId462"/>
      <w:r w:rsidRPr="00177154">
        <w:rPr>
          <w:lang w:val="fr-CA"/>
        </w:rPr>
        <w:t xml:space="preserve">Les chercheurs en début de carrière ont souvent de la difficulté à obtenir des subventions vu leur parcours limité, tandis que les chercheurs plus expérimentés peuvent bénéficier de leur réputation et de leurs réseaux bien établis. </w:t>
      </w:r>
      <w:bookmarkStart w:id="347" w:name="lt_pId463"/>
      <w:bookmarkEnd w:id="346"/>
      <w:r w:rsidRPr="00177154">
        <w:rPr>
          <w:lang w:val="fr-CA"/>
        </w:rPr>
        <w:t xml:space="preserve">On observe donc parfois une répartition inégale du financement, les chercheurs en début de carrière recevant moins de soutien alors qu’ils ont potentiellement des idées plus innovantes. </w:t>
      </w:r>
      <w:bookmarkEnd w:id="347"/>
    </w:p>
    <w:p w14:paraId="00BE38A3" w14:textId="5F231BC5" w:rsidR="003E7380" w:rsidRPr="00177154" w:rsidRDefault="003E7380" w:rsidP="006F2CA0">
      <w:pPr>
        <w:pStyle w:val="Heading1"/>
        <w:rPr>
          <w:lang w:val="fr-CA"/>
        </w:rPr>
      </w:pPr>
      <w:bookmarkStart w:id="348" w:name="lt_pId465"/>
      <w:r w:rsidRPr="00177154">
        <w:rPr>
          <w:lang w:val="fr-CA"/>
        </w:rPr>
        <w:t>7.</w:t>
      </w:r>
      <w:bookmarkStart w:id="349" w:name="lt_pId466"/>
      <w:bookmarkEnd w:id="348"/>
      <w:r w:rsidRPr="00177154">
        <w:rPr>
          <w:lang w:val="fr-CA"/>
        </w:rPr>
        <w:t xml:space="preserve"> Préjugés liés au stade de carrière </w:t>
      </w:r>
      <w:bookmarkEnd w:id="349"/>
      <w:r w:rsidR="006F2CA0" w:rsidRPr="00177154">
        <w:rPr>
          <w:lang w:val="fr-CA"/>
        </w:rPr>
        <w:t>3</w:t>
      </w:r>
    </w:p>
    <w:p w14:paraId="45C87EFA" w14:textId="189AB550" w:rsidR="003E7380" w:rsidRPr="00177154" w:rsidRDefault="003E7380" w:rsidP="00E174E6">
      <w:pPr>
        <w:rPr>
          <w:szCs w:val="22"/>
          <w:lang w:val="fr-CA"/>
        </w:rPr>
      </w:pPr>
      <w:bookmarkStart w:id="350" w:name="lt_pId467"/>
      <w:r w:rsidRPr="00177154">
        <w:rPr>
          <w:lang w:val="fr-CA"/>
        </w:rPr>
        <w:lastRenderedPageBreak/>
        <w:t>L’évaluation par les pairs doit prendre en compte le parcours professionnel non linéaire (circonstances personnelles, périodes de congé, etc.) des candidats dans le contexte de leur stade de carrière respectif.</w:t>
      </w:r>
      <w:bookmarkEnd w:id="350"/>
      <w:r w:rsidRPr="00177154">
        <w:rPr>
          <w:lang w:val="fr-CA"/>
        </w:rPr>
        <w:t xml:space="preserve"> </w:t>
      </w:r>
      <w:bookmarkStart w:id="351" w:name="lt_pId468"/>
      <w:r w:rsidRPr="00177154">
        <w:rPr>
          <w:lang w:val="fr-CA"/>
        </w:rPr>
        <w:t>Cette approche garantit que les propositions sont évaluées de manière équitable, en tenant compte du parcours unique de chaque personne et de ce qui convient à son stade de carrière.</w:t>
      </w:r>
      <w:bookmarkEnd w:id="351"/>
    </w:p>
    <w:p w14:paraId="37BC0D08" w14:textId="5B629E40" w:rsidR="003E7380" w:rsidRPr="00177154" w:rsidRDefault="003E7380" w:rsidP="006F2CA0">
      <w:pPr>
        <w:pStyle w:val="Heading1"/>
        <w:rPr>
          <w:lang w:val="fr-CA"/>
        </w:rPr>
      </w:pPr>
      <w:bookmarkStart w:id="352" w:name="lt_pId470"/>
      <w:r w:rsidRPr="00177154">
        <w:rPr>
          <w:lang w:val="fr-CA"/>
        </w:rPr>
        <w:t>7.</w:t>
      </w:r>
      <w:bookmarkStart w:id="353" w:name="lt_pId471"/>
      <w:bookmarkEnd w:id="352"/>
      <w:r w:rsidRPr="00177154">
        <w:rPr>
          <w:lang w:val="fr-CA"/>
        </w:rPr>
        <w:t xml:space="preserve"> Préjugés liés au stade de carrière </w:t>
      </w:r>
      <w:bookmarkEnd w:id="353"/>
      <w:r w:rsidR="006F2CA0" w:rsidRPr="00177154">
        <w:rPr>
          <w:lang w:val="fr-CA"/>
        </w:rPr>
        <w:t>4</w:t>
      </w:r>
    </w:p>
    <w:p w14:paraId="444CC3B9" w14:textId="77777777" w:rsidR="003E7380" w:rsidRPr="00177154" w:rsidRDefault="003E7380" w:rsidP="00E174E6">
      <w:pPr>
        <w:rPr>
          <w:szCs w:val="22"/>
          <w:lang w:val="fr-CA"/>
        </w:rPr>
      </w:pPr>
      <w:bookmarkStart w:id="354" w:name="lt_pId472"/>
      <w:r w:rsidRPr="00177154">
        <w:rPr>
          <w:lang w:val="fr-CA"/>
        </w:rPr>
        <w:t xml:space="preserve">Prenez en considération l’expertise du candidat et de l’équipe de recherche, la nouveauté de la recherche, la faisabilité de la méthode proposée et le potentiel d’avancement dans le domaine. </w:t>
      </w:r>
      <w:bookmarkEnd w:id="354"/>
    </w:p>
    <w:p w14:paraId="472DA7CA" w14:textId="43F4FFB8" w:rsidR="003E7380" w:rsidRPr="00177154" w:rsidRDefault="003E7380" w:rsidP="006F2CA0">
      <w:pPr>
        <w:pStyle w:val="Heading1"/>
        <w:rPr>
          <w:lang w:val="fr-CA"/>
        </w:rPr>
      </w:pPr>
      <w:bookmarkStart w:id="355" w:name="lt_pId475"/>
      <w:r w:rsidRPr="00177154">
        <w:rPr>
          <w:lang w:val="fr-CA"/>
        </w:rPr>
        <w:t>8.</w:t>
      </w:r>
      <w:bookmarkStart w:id="356" w:name="lt_pId476"/>
      <w:bookmarkEnd w:id="355"/>
      <w:r w:rsidRPr="00177154">
        <w:rPr>
          <w:lang w:val="fr-CA"/>
        </w:rPr>
        <w:t xml:space="preserve"> Préjugés liés au genre</w:t>
      </w:r>
      <w:bookmarkEnd w:id="356"/>
      <w:r w:rsidR="006F2CA0" w:rsidRPr="00177154">
        <w:rPr>
          <w:lang w:val="fr-CA"/>
        </w:rPr>
        <w:t xml:space="preserve"> 1</w:t>
      </w:r>
    </w:p>
    <w:bookmarkStart w:id="357" w:name="lt_pId474"/>
    <w:bookmarkStart w:id="358" w:name="lt_pId477"/>
    <w:p w14:paraId="0DA11E81" w14:textId="77777777" w:rsidR="005A69B5" w:rsidRPr="00177154" w:rsidRDefault="005A69B5" w:rsidP="005A69B5">
      <w:pPr>
        <w:rPr>
          <w:lang w:val="fr-CA"/>
        </w:rPr>
      </w:pPr>
      <w:r w:rsidRPr="00177154">
        <w:rPr>
          <w:lang w:val="fr-CA"/>
        </w:rPr>
        <w:fldChar w:fldCharType="begin"/>
      </w:r>
      <w:r w:rsidRPr="00177154">
        <w:rPr>
          <w:lang w:val="fr-CA"/>
        </w:rPr>
        <w:instrText>HYPERLINK "https://cihr-irsc.gc.ca/f/54486.html" \l "a6"</w:instrText>
      </w:r>
      <w:r w:rsidRPr="00177154">
        <w:rPr>
          <w:lang w:val="fr-CA"/>
        </w:rPr>
      </w:r>
      <w:r w:rsidRPr="00177154">
        <w:rPr>
          <w:lang w:val="fr-CA"/>
        </w:rPr>
        <w:fldChar w:fldCharType="separate"/>
      </w:r>
      <w:r w:rsidRPr="00177154">
        <w:rPr>
          <w:rStyle w:val="Hyperlink"/>
          <w:lang w:val="fr-CA"/>
        </w:rPr>
        <w:t>Références</w:t>
      </w:r>
      <w:r w:rsidRPr="00177154">
        <w:rPr>
          <w:lang w:val="fr-CA"/>
        </w:rPr>
        <w:fldChar w:fldCharType="end"/>
      </w:r>
      <w:bookmarkEnd w:id="357"/>
    </w:p>
    <w:p w14:paraId="12FAE1AC" w14:textId="040A5F4C" w:rsidR="003E7380" w:rsidRPr="00177154" w:rsidRDefault="003E7380" w:rsidP="00E174E6">
      <w:pPr>
        <w:rPr>
          <w:szCs w:val="22"/>
          <w:lang w:val="fr-CA"/>
        </w:rPr>
      </w:pPr>
      <w:r w:rsidRPr="00177154">
        <w:rPr>
          <w:lang w:val="fr-CA"/>
        </w:rPr>
        <w:t xml:space="preserve">La recherche sur </w:t>
      </w:r>
      <w:r w:rsidR="003A42DA" w:rsidRPr="00177154">
        <w:rPr>
          <w:lang w:val="fr-CA"/>
        </w:rPr>
        <w:t xml:space="preserve">les </w:t>
      </w:r>
      <w:hyperlink r:id="rId49" w:anchor="a38" w:history="1">
        <w:r w:rsidR="003A42DA" w:rsidRPr="00177154">
          <w:rPr>
            <w:rStyle w:val="Hyperlink"/>
            <w:lang w:val="fr-CA"/>
          </w:rPr>
          <w:t>préjugés liés au genre</w:t>
        </w:r>
      </w:hyperlink>
      <w:r w:rsidR="003A42DA" w:rsidRPr="00177154">
        <w:rPr>
          <w:lang w:val="fr-CA"/>
        </w:rPr>
        <w:t xml:space="preserve"> s’est </w:t>
      </w:r>
      <w:r w:rsidRPr="00177154">
        <w:rPr>
          <w:lang w:val="fr-CA"/>
        </w:rPr>
        <w:t>traditionnellement concentrée sur les préjugés subis par les femmes cisgenres par rapport aux hommes cisgenres.</w:t>
      </w:r>
      <w:bookmarkStart w:id="359" w:name="lt_pId478"/>
      <w:bookmarkEnd w:id="358"/>
      <w:r w:rsidRPr="00177154">
        <w:rPr>
          <w:lang w:val="fr-CA"/>
        </w:rPr>
        <w:t xml:space="preserve"> Dans certains cas, les cotes peuvent favoriser les chercheurs (hommes) cisgenres qui ont déjà obtenu du financement.</w:t>
      </w:r>
      <w:bookmarkEnd w:id="359"/>
    </w:p>
    <w:p w14:paraId="3DB03C5B" w14:textId="79843B3E" w:rsidR="003E7380" w:rsidRPr="00177154" w:rsidRDefault="003E7380" w:rsidP="006F2CA0">
      <w:pPr>
        <w:pStyle w:val="Heading1"/>
        <w:rPr>
          <w:lang w:val="fr-CA"/>
        </w:rPr>
      </w:pPr>
      <w:bookmarkStart w:id="360" w:name="lt_pId480"/>
      <w:r w:rsidRPr="00177154">
        <w:rPr>
          <w:lang w:val="fr-CA"/>
        </w:rPr>
        <w:t>8.</w:t>
      </w:r>
      <w:bookmarkStart w:id="361" w:name="lt_pId481"/>
      <w:bookmarkEnd w:id="360"/>
      <w:r w:rsidRPr="00177154">
        <w:rPr>
          <w:lang w:val="fr-CA"/>
        </w:rPr>
        <w:t xml:space="preserve"> Préjugés liés au genre</w:t>
      </w:r>
      <w:bookmarkEnd w:id="361"/>
      <w:r w:rsidR="006F2CA0" w:rsidRPr="00177154">
        <w:rPr>
          <w:lang w:val="fr-CA"/>
        </w:rPr>
        <w:t xml:space="preserve"> 2</w:t>
      </w:r>
    </w:p>
    <w:p w14:paraId="311B1A27" w14:textId="0D5925C0" w:rsidR="003E7380" w:rsidRPr="00177154" w:rsidRDefault="00B128EE" w:rsidP="00E174E6">
      <w:pPr>
        <w:rPr>
          <w:lang w:val="fr-CA"/>
        </w:rPr>
      </w:pPr>
      <w:bookmarkStart w:id="362" w:name="lt_pId482"/>
      <w:r>
        <w:rPr>
          <w:lang w:val="fr-CA"/>
        </w:rPr>
        <w:t>Il existe</w:t>
      </w:r>
      <w:r w:rsidR="003E7380" w:rsidRPr="00177154">
        <w:rPr>
          <w:lang w:val="fr-CA"/>
        </w:rPr>
        <w:t xml:space="preserve"> une étude réalisée en 2019 sur les possibilités de financement des IRSC, qui comparait un programme évaluant principalement la recherche proposée à un autre évaluant principalement le candidat. </w:t>
      </w:r>
      <w:bookmarkStart w:id="363" w:name="lt_pId483"/>
      <w:bookmarkEnd w:id="362"/>
      <w:r w:rsidR="003E7380" w:rsidRPr="00177154">
        <w:rPr>
          <w:lang w:val="fr-CA"/>
        </w:rPr>
        <w:t xml:space="preserve">Les taux de succès (financement) des hommes et des femmes (les données sur </w:t>
      </w:r>
      <w:r w:rsidR="00420F75" w:rsidRPr="00177154">
        <w:rPr>
          <w:lang w:val="fr-CA"/>
        </w:rPr>
        <w:t xml:space="preserve">le </w:t>
      </w:r>
      <w:hyperlink r:id="rId50" w:anchor="a44" w:history="1">
        <w:r w:rsidR="00420F75" w:rsidRPr="00177154">
          <w:rPr>
            <w:rStyle w:val="Hyperlink"/>
            <w:lang w:val="fr-CA"/>
          </w:rPr>
          <w:t>sexe</w:t>
        </w:r>
      </w:hyperlink>
      <w:r w:rsidR="00420F75" w:rsidRPr="00177154">
        <w:rPr>
          <w:lang w:val="fr-CA"/>
        </w:rPr>
        <w:t xml:space="preserve"> ont été </w:t>
      </w:r>
      <w:r w:rsidR="003E7380" w:rsidRPr="00177154">
        <w:rPr>
          <w:lang w:val="fr-CA"/>
        </w:rPr>
        <w:t>utilisées dans l’étude) n’étaient pas différents pour l’évaluation se concentrant sur la recherche proposée, mais les femmes avaient moins de succès que les hommes (8,8 % contre 12,7 %) lorsqu’on évaluait principalement le candidat.</w:t>
      </w:r>
      <w:bookmarkEnd w:id="363"/>
    </w:p>
    <w:p w14:paraId="2A4ABA1A" w14:textId="54DB2D35" w:rsidR="003E7380" w:rsidRPr="00177154" w:rsidRDefault="003E7380" w:rsidP="00933692">
      <w:pPr>
        <w:pStyle w:val="Heading1"/>
        <w:rPr>
          <w:lang w:val="fr-CA"/>
        </w:rPr>
      </w:pPr>
      <w:bookmarkStart w:id="364" w:name="lt_pId486"/>
      <w:r w:rsidRPr="00177154">
        <w:rPr>
          <w:lang w:val="fr-CA"/>
        </w:rPr>
        <w:t>8.</w:t>
      </w:r>
      <w:bookmarkStart w:id="365" w:name="lt_pId487"/>
      <w:bookmarkEnd w:id="364"/>
      <w:r w:rsidRPr="00177154">
        <w:rPr>
          <w:lang w:val="fr-CA"/>
        </w:rPr>
        <w:t xml:space="preserve"> Préjugés liés au genre</w:t>
      </w:r>
      <w:bookmarkEnd w:id="365"/>
      <w:r w:rsidR="00933692" w:rsidRPr="00177154">
        <w:rPr>
          <w:lang w:val="fr-CA"/>
        </w:rPr>
        <w:t xml:space="preserve"> 3</w:t>
      </w:r>
    </w:p>
    <w:p w14:paraId="12573144" w14:textId="23060D8B" w:rsidR="003E7380" w:rsidRPr="00177154" w:rsidRDefault="00F70740" w:rsidP="00F70740">
      <w:pPr>
        <w:rPr>
          <w:szCs w:val="22"/>
          <w:lang w:val="fr-CA"/>
        </w:rPr>
      </w:pPr>
      <w:bookmarkStart w:id="366" w:name="lt_pId488"/>
      <w:r w:rsidRPr="00177154">
        <w:rPr>
          <w:lang w:val="fr-CA"/>
        </w:rPr>
        <w:t xml:space="preserve">Ces résultats, ainsi que ceux d’autres études, mettent en évidence un préjugé défavorable aux femmes candidates, quelle que soit la qualité de leur proposition, et soulignent l’influence des </w:t>
      </w:r>
      <w:hyperlink r:id="rId51" w:anchor="a38" w:history="1">
        <w:r w:rsidRPr="00177154">
          <w:rPr>
            <w:rStyle w:val="Hyperlink"/>
            <w:lang w:val="fr-CA"/>
          </w:rPr>
          <w:t>préjugés liés au genre</w:t>
        </w:r>
      </w:hyperlink>
      <w:r w:rsidRPr="00177154">
        <w:rPr>
          <w:lang w:val="fr-CA"/>
        </w:rPr>
        <w:t xml:space="preserve"> (ou sexistes) sur les décisions de financement.</w:t>
      </w:r>
      <w:bookmarkStart w:id="367" w:name="lt_pId489"/>
      <w:bookmarkEnd w:id="366"/>
      <w:r w:rsidRPr="00177154">
        <w:rPr>
          <w:lang w:val="fr-CA"/>
        </w:rPr>
        <w:t xml:space="preserve"> Malheureusement, peu d’études jusqu’ici se sont intéressées aux préjugés</w:t>
      </w:r>
      <w:r w:rsidR="008B5F62">
        <w:rPr>
          <w:lang w:val="fr-CA"/>
        </w:rPr>
        <w:t xml:space="preserve"> liés au genre</w:t>
      </w:r>
      <w:r w:rsidRPr="00177154">
        <w:rPr>
          <w:lang w:val="fr-CA"/>
        </w:rPr>
        <w:t xml:space="preserve"> à l’égard des </w:t>
      </w:r>
      <w:hyperlink r:id="rId52" w:anchor="a34" w:history="1">
        <w:r w:rsidRPr="00177154">
          <w:rPr>
            <w:rStyle w:val="Hyperlink"/>
            <w:lang w:val="fr-CA"/>
          </w:rPr>
          <w:t>personnes transgenres</w:t>
        </w:r>
      </w:hyperlink>
      <w:r w:rsidRPr="00177154">
        <w:rPr>
          <w:lang w:val="fr-CA"/>
        </w:rPr>
        <w:t xml:space="preserve"> («</w:t>
      </w:r>
      <w:r w:rsidRPr="00177154">
        <w:rPr>
          <w:rFonts w:ascii="Arial" w:hAnsi="Arial" w:cs="Arial"/>
          <w:lang w:val="fr-CA"/>
        </w:rPr>
        <w:t> </w:t>
      </w:r>
      <w:r w:rsidRPr="00177154">
        <w:rPr>
          <w:lang w:val="fr-CA"/>
        </w:rPr>
        <w:t>trans</w:t>
      </w:r>
      <w:r w:rsidRPr="00177154">
        <w:rPr>
          <w:rFonts w:ascii="Arial" w:hAnsi="Arial" w:cs="Arial"/>
          <w:lang w:val="fr-CA"/>
        </w:rPr>
        <w:t> </w:t>
      </w:r>
      <w:r w:rsidRPr="00177154">
        <w:rPr>
          <w:lang w:val="fr-CA"/>
        </w:rPr>
        <w:t xml:space="preserve">») et </w:t>
      </w:r>
      <w:hyperlink r:id="rId53" w:anchor="a33" w:history="1">
        <w:r w:rsidRPr="00177154">
          <w:rPr>
            <w:rStyle w:val="Hyperlink"/>
            <w:lang w:val="fr-CA"/>
          </w:rPr>
          <w:t>non binaires</w:t>
        </w:r>
      </w:hyperlink>
      <w:r w:rsidRPr="00177154">
        <w:rPr>
          <w:lang w:val="fr-CA"/>
        </w:rPr>
        <w:t>.</w:t>
      </w:r>
      <w:bookmarkEnd w:id="367"/>
    </w:p>
    <w:p w14:paraId="3609A5F1" w14:textId="4F98201D" w:rsidR="003E7380" w:rsidRPr="00177154" w:rsidRDefault="003E7380" w:rsidP="0048568E">
      <w:pPr>
        <w:pStyle w:val="Heading1"/>
        <w:rPr>
          <w:lang w:val="fr-CA"/>
        </w:rPr>
      </w:pPr>
      <w:bookmarkStart w:id="368" w:name="lt_pId491"/>
      <w:r w:rsidRPr="00177154">
        <w:rPr>
          <w:lang w:val="fr-CA"/>
        </w:rPr>
        <w:t>8.</w:t>
      </w:r>
      <w:bookmarkStart w:id="369" w:name="lt_pId492"/>
      <w:bookmarkEnd w:id="368"/>
      <w:r w:rsidRPr="00177154">
        <w:rPr>
          <w:lang w:val="fr-CA"/>
        </w:rPr>
        <w:t xml:space="preserve"> Préjugés liés au genre</w:t>
      </w:r>
      <w:bookmarkEnd w:id="369"/>
      <w:r w:rsidR="0048568E" w:rsidRPr="00177154">
        <w:rPr>
          <w:lang w:val="fr-CA"/>
        </w:rPr>
        <w:t xml:space="preserve"> 4</w:t>
      </w:r>
    </w:p>
    <w:p w14:paraId="654F9464" w14:textId="4C0963FE" w:rsidR="003E7380" w:rsidRPr="00177154" w:rsidRDefault="003E7380" w:rsidP="00E174E6">
      <w:pPr>
        <w:rPr>
          <w:lang w:val="fr-CA"/>
        </w:rPr>
      </w:pPr>
      <w:bookmarkStart w:id="370" w:name="lt_pId493"/>
      <w:r w:rsidRPr="00177154">
        <w:rPr>
          <w:lang w:val="fr-CA"/>
        </w:rPr>
        <w:lastRenderedPageBreak/>
        <w:t xml:space="preserve">Utilisez le bouton à l’écran pour en savoir plus sur la manière dont les préjugés à l’égard des femmes cisgenres et des chercheuses transgenres entravent leur participation à la recherche, à la publication et à l’obtention de fonds. </w:t>
      </w:r>
      <w:bookmarkStart w:id="371" w:name="lt_pId494"/>
      <w:bookmarkEnd w:id="370"/>
      <w:r w:rsidR="00C516EB" w:rsidRPr="00C516EB">
        <w:rPr>
          <w:lang w:val="fr-CA"/>
        </w:rPr>
        <w:t xml:space="preserve">Les femmes cisgenres et les </w:t>
      </w:r>
      <w:hyperlink r:id="rId54" w:anchor="a34" w:history="1">
        <w:r w:rsidR="00C516EB" w:rsidRPr="00D422FD">
          <w:rPr>
            <w:rStyle w:val="Hyperlink"/>
            <w:lang w:val="fr-CA"/>
          </w:rPr>
          <w:t>personnes trans</w:t>
        </w:r>
      </w:hyperlink>
      <w:r w:rsidR="00C516EB" w:rsidRPr="00C516EB">
        <w:rPr>
          <w:lang w:val="fr-CA"/>
        </w:rPr>
        <w:t xml:space="preserve"> et </w:t>
      </w:r>
      <w:hyperlink r:id="rId55" w:anchor="a33" w:history="1">
        <w:r w:rsidR="00C516EB" w:rsidRPr="00D422FD">
          <w:rPr>
            <w:rStyle w:val="Hyperlink"/>
            <w:lang w:val="fr-CA"/>
          </w:rPr>
          <w:t>non binaires</w:t>
        </w:r>
      </w:hyperlink>
      <w:r w:rsidR="00C516EB" w:rsidRPr="00C516EB">
        <w:rPr>
          <w:lang w:val="fr-CA"/>
        </w:rPr>
        <w:t xml:space="preserve"> qui font de la recherche sont </w:t>
      </w:r>
      <w:r w:rsidRPr="00177154">
        <w:rPr>
          <w:lang w:val="fr-CA"/>
        </w:rPr>
        <w:t xml:space="preserve">souvent impliquées dans davantage de tâches de service, de défense des droits, d’enseignement et de mentorat au sein de leur établissement, et peuvent donc compter moins de </w:t>
      </w:r>
      <w:r w:rsidR="00F82E64">
        <w:rPr>
          <w:lang w:val="fr-CA"/>
        </w:rPr>
        <w:t xml:space="preserve">réalisations </w:t>
      </w:r>
      <w:r w:rsidRPr="00177154">
        <w:rPr>
          <w:lang w:val="fr-CA"/>
        </w:rPr>
        <w:t>«</w:t>
      </w:r>
      <w:r w:rsidRPr="00177154">
        <w:rPr>
          <w:rFonts w:ascii="Arial" w:hAnsi="Arial" w:cs="Arial"/>
          <w:lang w:val="fr-CA"/>
        </w:rPr>
        <w:t> </w:t>
      </w:r>
      <w:r w:rsidRPr="00177154">
        <w:rPr>
          <w:lang w:val="fr-CA"/>
        </w:rPr>
        <w:t>traditionnels</w:t>
      </w:r>
      <w:r w:rsidRPr="00177154">
        <w:rPr>
          <w:rFonts w:ascii="Arial" w:hAnsi="Arial" w:cs="Arial"/>
          <w:lang w:val="fr-CA"/>
        </w:rPr>
        <w:t> </w:t>
      </w:r>
      <w:r w:rsidRPr="00177154">
        <w:rPr>
          <w:lang w:val="fr-CA"/>
        </w:rPr>
        <w:t xml:space="preserve">» à leur curriculum vitae (p. ex. publications et subventions). </w:t>
      </w:r>
      <w:bookmarkEnd w:id="371"/>
    </w:p>
    <w:p w14:paraId="31CB90A0" w14:textId="77777777" w:rsidR="003E7380" w:rsidRPr="00177154" w:rsidRDefault="003E7380" w:rsidP="0048568E">
      <w:pPr>
        <w:pStyle w:val="Heading2"/>
        <w:rPr>
          <w:lang w:val="fr-CA"/>
        </w:rPr>
      </w:pPr>
      <w:bookmarkStart w:id="372" w:name="lt_pId498"/>
      <w:r w:rsidRPr="00177154">
        <w:rPr>
          <w:lang w:val="fr-CA"/>
        </w:rPr>
        <w:t>Être une personne transgenre dans l’écosystème de recherche</w:t>
      </w:r>
      <w:bookmarkEnd w:id="372"/>
      <w:r w:rsidRPr="00177154">
        <w:rPr>
          <w:lang w:val="fr-CA"/>
        </w:rPr>
        <w:t xml:space="preserve"> </w:t>
      </w:r>
    </w:p>
    <w:p w14:paraId="7C315CAD" w14:textId="58FE7BB0" w:rsidR="003E7380" w:rsidRPr="00177154" w:rsidRDefault="004B44FB" w:rsidP="004B44FB">
      <w:pPr>
        <w:rPr>
          <w:szCs w:val="22"/>
          <w:lang w:val="fr-CA"/>
        </w:rPr>
      </w:pPr>
      <w:bookmarkStart w:id="373" w:name="lt_pId499"/>
      <w:r w:rsidRPr="00177154">
        <w:rPr>
          <w:lang w:val="fr-CA"/>
        </w:rPr>
        <w:t xml:space="preserve">Peu d’études ont spécifiquement examiné les préjugés à l’encontre des </w:t>
      </w:r>
      <w:hyperlink r:id="rId56" w:anchor="a34" w:history="1">
        <w:r w:rsidRPr="00177154">
          <w:rPr>
            <w:rStyle w:val="Hyperlink"/>
            <w:lang w:val="fr-CA"/>
          </w:rPr>
          <w:t>personnes transgenres</w:t>
        </w:r>
      </w:hyperlink>
      <w:r w:rsidRPr="00177154">
        <w:rPr>
          <w:lang w:val="fr-CA"/>
        </w:rPr>
        <w:t xml:space="preserve"> et </w:t>
      </w:r>
      <w:hyperlink r:id="rId57" w:anchor="a33" w:history="1">
        <w:r w:rsidRPr="00177154">
          <w:rPr>
            <w:rStyle w:val="Hyperlink"/>
            <w:lang w:val="fr-CA"/>
          </w:rPr>
          <w:t>non binaires</w:t>
        </w:r>
      </w:hyperlink>
      <w:r w:rsidRPr="00177154">
        <w:rPr>
          <w:lang w:val="fr-CA"/>
        </w:rPr>
        <w:t xml:space="preserve"> dans les processus d’évaluation </w:t>
      </w:r>
      <w:r w:rsidR="00F45369">
        <w:rPr>
          <w:lang w:val="fr-CA"/>
        </w:rPr>
        <w:t xml:space="preserve">dans les secteurs </w:t>
      </w:r>
      <w:r w:rsidRPr="00177154">
        <w:rPr>
          <w:lang w:val="fr-CA"/>
        </w:rPr>
        <w:t>universitaire</w:t>
      </w:r>
      <w:r w:rsidR="00F82E64">
        <w:rPr>
          <w:lang w:val="fr-CA"/>
        </w:rPr>
        <w:t xml:space="preserve"> et collégia</w:t>
      </w:r>
      <w:r w:rsidR="002A1446">
        <w:rPr>
          <w:lang w:val="fr-CA"/>
        </w:rPr>
        <w:t>l</w:t>
      </w:r>
      <w:r w:rsidRPr="00177154">
        <w:rPr>
          <w:lang w:val="fr-CA"/>
        </w:rPr>
        <w:t>, mais leurs conclusions montrent que ces préjugés existent et contribuent à créer des obstacles importants pour ces personnes dans les domaines de la recherche, de la publication et de l’accès au financement.</w:t>
      </w:r>
      <w:bookmarkStart w:id="374" w:name="lt_pId500"/>
      <w:bookmarkEnd w:id="373"/>
      <w:r w:rsidRPr="00177154">
        <w:rPr>
          <w:lang w:val="fr-CA"/>
        </w:rPr>
        <w:t xml:space="preserve"> Les difficultés financières et l’incidence plus élevée de </w:t>
      </w:r>
      <w:hyperlink r:id="rId58" w:anchor="a7" w:history="1">
        <w:r w:rsidRPr="0060472C">
          <w:rPr>
            <w:rStyle w:val="Hyperlink"/>
            <w:lang w:val="fr-CA"/>
          </w:rPr>
          <w:t>discrimination</w:t>
        </w:r>
      </w:hyperlink>
      <w:r w:rsidRPr="00177154">
        <w:rPr>
          <w:lang w:val="fr-CA"/>
        </w:rPr>
        <w:t xml:space="preserve"> et de harcèlement exacerbent ces obstacles, affectant la capacité des scientifiques transgenres à entrer et à rester dans le milieu </w:t>
      </w:r>
      <w:r w:rsidR="00F82E64">
        <w:rPr>
          <w:lang w:val="fr-CA"/>
        </w:rPr>
        <w:t>universitaire et collégial</w:t>
      </w:r>
      <w:r w:rsidRPr="00177154">
        <w:rPr>
          <w:lang w:val="fr-CA"/>
        </w:rPr>
        <w:t xml:space="preserve">. </w:t>
      </w:r>
      <w:bookmarkStart w:id="375" w:name="lt_pId501"/>
      <w:bookmarkEnd w:id="374"/>
      <w:r w:rsidRPr="00177154">
        <w:rPr>
          <w:lang w:val="fr-CA"/>
        </w:rPr>
        <w:t xml:space="preserve">De plus, le poids émotionnel de la perte, du deuil et de la détresse mentale peut perturber la concentration </w:t>
      </w:r>
      <w:r w:rsidR="00140068">
        <w:rPr>
          <w:lang w:val="fr-CA"/>
        </w:rPr>
        <w:t>sur leurs activités de recherche</w:t>
      </w:r>
      <w:r w:rsidRPr="00177154">
        <w:rPr>
          <w:lang w:val="fr-CA"/>
        </w:rPr>
        <w:t xml:space="preserve">. </w:t>
      </w:r>
      <w:bookmarkStart w:id="376" w:name="lt_pId502"/>
      <w:bookmarkEnd w:id="375"/>
      <w:r w:rsidR="00A14161" w:rsidRPr="00BD613C">
        <w:rPr>
          <w:lang w:val="fr-CA"/>
        </w:rPr>
        <w:t xml:space="preserve">En recherche, les personnes transgenres peuvent être confrontées à des difficultés si elles ont </w:t>
      </w:r>
      <w:hyperlink r:id="rId59" w:anchor="a46" w:history="1">
        <w:r w:rsidR="00A14161" w:rsidRPr="00BD613C">
          <w:rPr>
            <w:rStyle w:val="Hyperlink"/>
            <w:lang w:val="fr-CA"/>
          </w:rPr>
          <w:t>effectué une transition de genre</w:t>
        </w:r>
      </w:hyperlink>
      <w:r w:rsidR="00A14161" w:rsidRPr="00BD613C">
        <w:rPr>
          <w:lang w:val="fr-CA"/>
        </w:rPr>
        <w:t xml:space="preserve">, car elles doivent choisir entre </w:t>
      </w:r>
      <w:r w:rsidRPr="00177154">
        <w:rPr>
          <w:lang w:val="fr-CA"/>
        </w:rPr>
        <w:t>omettre leurs travaux antérieurs publiés sous</w:t>
      </w:r>
      <w:r w:rsidR="00BF5B3C">
        <w:rPr>
          <w:lang w:val="fr-CA"/>
        </w:rPr>
        <w:t xml:space="preserve"> un </w:t>
      </w:r>
      <w:hyperlink r:id="rId60" w:anchor="a26" w:history="1">
        <w:r w:rsidR="00BF5B3C" w:rsidRPr="000C3039">
          <w:rPr>
            <w:rStyle w:val="Hyperlink"/>
            <w:lang w:val="fr-CA"/>
          </w:rPr>
          <w:t>morinom</w:t>
        </w:r>
      </w:hyperlink>
      <w:r w:rsidR="00BF5B3C">
        <w:rPr>
          <w:lang w:val="fr-CA"/>
        </w:rPr>
        <w:t xml:space="preserve"> (c’est-à-dire</w:t>
      </w:r>
      <w:r w:rsidRPr="00177154">
        <w:rPr>
          <w:lang w:val="fr-CA"/>
        </w:rPr>
        <w:t xml:space="preserve"> un </w:t>
      </w:r>
      <w:r w:rsidR="000C3039" w:rsidRPr="00CD1BB6">
        <w:rPr>
          <w:lang w:val="fr-CA"/>
        </w:rPr>
        <w:t>ancien prénom</w:t>
      </w:r>
      <w:r w:rsidR="000C3039">
        <w:rPr>
          <w:lang w:val="fr-CA"/>
        </w:rPr>
        <w:t>)</w:t>
      </w:r>
      <w:r w:rsidRPr="00177154">
        <w:rPr>
          <w:lang w:val="fr-CA"/>
        </w:rPr>
        <w:t xml:space="preserve">, révéler leur statut de </w:t>
      </w:r>
      <w:hyperlink r:id="rId61" w:anchor="a34" w:history="1">
        <w:r w:rsidRPr="00177154">
          <w:rPr>
            <w:rStyle w:val="Hyperlink"/>
            <w:lang w:val="fr-CA"/>
          </w:rPr>
          <w:t>transgenre</w:t>
        </w:r>
      </w:hyperlink>
      <w:r w:rsidRPr="00177154">
        <w:rPr>
          <w:lang w:val="fr-CA"/>
        </w:rPr>
        <w:t xml:space="preserve"> en publiant des corrections ou conserver leur ancien prénom malgré le malaise que cela peut susciter.</w:t>
      </w:r>
      <w:bookmarkEnd w:id="376"/>
    </w:p>
    <w:p w14:paraId="570579C8" w14:textId="1E95EBCB" w:rsidR="003E7380" w:rsidRPr="00177154" w:rsidRDefault="003E7380" w:rsidP="0048568E">
      <w:pPr>
        <w:pStyle w:val="Heading1"/>
        <w:rPr>
          <w:lang w:val="fr-CA"/>
        </w:rPr>
      </w:pPr>
      <w:bookmarkStart w:id="377" w:name="lt_pId505"/>
      <w:r w:rsidRPr="00177154">
        <w:rPr>
          <w:lang w:val="fr-CA"/>
        </w:rPr>
        <w:t>9.</w:t>
      </w:r>
      <w:bookmarkStart w:id="378" w:name="lt_pId506"/>
      <w:bookmarkEnd w:id="377"/>
      <w:r w:rsidRPr="00177154">
        <w:rPr>
          <w:lang w:val="fr-CA"/>
        </w:rPr>
        <w:t xml:space="preserve"> Préjugés liés à l’orientation sexuelle</w:t>
      </w:r>
      <w:bookmarkEnd w:id="378"/>
      <w:r w:rsidR="0048568E" w:rsidRPr="00177154">
        <w:rPr>
          <w:lang w:val="fr-CA"/>
        </w:rPr>
        <w:t xml:space="preserve"> 1</w:t>
      </w:r>
    </w:p>
    <w:bookmarkStart w:id="379" w:name="lt_pId504"/>
    <w:bookmarkStart w:id="380" w:name="lt_pId507"/>
    <w:p w14:paraId="6C41D8A6" w14:textId="77777777" w:rsidR="00637179" w:rsidRPr="00177154" w:rsidRDefault="00637179" w:rsidP="00637179">
      <w:pPr>
        <w:rPr>
          <w:lang w:val="fr-CA"/>
        </w:rPr>
      </w:pPr>
      <w:r w:rsidRPr="00177154">
        <w:rPr>
          <w:lang w:val="fr-CA"/>
        </w:rPr>
        <w:fldChar w:fldCharType="begin"/>
      </w:r>
      <w:r w:rsidRPr="00177154">
        <w:rPr>
          <w:lang w:val="fr-CA"/>
        </w:rPr>
        <w:instrText>HYPERLINK "https://cihr-irsc.gc.ca/f/54486.html" \l "a7"</w:instrText>
      </w:r>
      <w:r w:rsidRPr="00177154">
        <w:rPr>
          <w:lang w:val="fr-CA"/>
        </w:rPr>
      </w:r>
      <w:r w:rsidRPr="00177154">
        <w:rPr>
          <w:lang w:val="fr-CA"/>
        </w:rPr>
        <w:fldChar w:fldCharType="separate"/>
      </w:r>
      <w:r w:rsidRPr="00177154">
        <w:rPr>
          <w:rStyle w:val="Hyperlink"/>
          <w:lang w:val="fr-CA"/>
        </w:rPr>
        <w:t>Références</w:t>
      </w:r>
      <w:r w:rsidRPr="00177154">
        <w:rPr>
          <w:lang w:val="fr-CA"/>
        </w:rPr>
        <w:fldChar w:fldCharType="end"/>
      </w:r>
      <w:bookmarkEnd w:id="379"/>
    </w:p>
    <w:p w14:paraId="081DD36A" w14:textId="457FF947" w:rsidR="003E7380" w:rsidRPr="00177154" w:rsidRDefault="003E7380" w:rsidP="00E174E6">
      <w:pPr>
        <w:rPr>
          <w:lang w:val="fr-CA"/>
        </w:rPr>
      </w:pPr>
      <w:r w:rsidRPr="00177154">
        <w:rPr>
          <w:lang w:val="fr-CA"/>
        </w:rPr>
        <w:t xml:space="preserve">L’orientation sexuelle est indépendante </w:t>
      </w:r>
      <w:r w:rsidR="00A3715C" w:rsidRPr="00177154">
        <w:rPr>
          <w:lang w:val="fr-CA"/>
        </w:rPr>
        <w:t xml:space="preserve">de </w:t>
      </w:r>
      <w:hyperlink r:id="rId62" w:anchor="a20" w:history="1">
        <w:r w:rsidR="00A3715C" w:rsidRPr="00177154">
          <w:rPr>
            <w:rStyle w:val="Hyperlink"/>
            <w:lang w:val="fr-CA"/>
          </w:rPr>
          <w:t>l’identité de genre</w:t>
        </w:r>
      </w:hyperlink>
      <w:r w:rsidR="00A3715C" w:rsidRPr="00177154">
        <w:rPr>
          <w:lang w:val="fr-CA"/>
        </w:rPr>
        <w:t xml:space="preserve"> et </w:t>
      </w:r>
      <w:r w:rsidRPr="00177154">
        <w:rPr>
          <w:lang w:val="fr-CA"/>
        </w:rPr>
        <w:t xml:space="preserve">couvre trois aspects principaux : </w:t>
      </w:r>
      <w:bookmarkEnd w:id="380"/>
    </w:p>
    <w:p w14:paraId="7B44303E" w14:textId="77777777" w:rsidR="003E7380" w:rsidRPr="00177154" w:rsidRDefault="003E7380" w:rsidP="00E30D4C">
      <w:pPr>
        <w:pStyle w:val="ListParagraph"/>
        <w:numPr>
          <w:ilvl w:val="0"/>
          <w:numId w:val="5"/>
        </w:numPr>
        <w:spacing w:before="240" w:after="120"/>
        <w:rPr>
          <w:lang w:val="fr-CA"/>
        </w:rPr>
      </w:pPr>
      <w:bookmarkStart w:id="381" w:name="lt_pId508"/>
      <w:r w:rsidRPr="00177154">
        <w:rPr>
          <w:lang w:val="fr-CA"/>
        </w:rPr>
        <w:t>La façon dont une personne se perçoit sexuellement.</w:t>
      </w:r>
      <w:bookmarkStart w:id="382" w:name="lt_pId509"/>
      <w:bookmarkEnd w:id="381"/>
      <w:r w:rsidRPr="00177154">
        <w:rPr>
          <w:lang w:val="fr-CA"/>
        </w:rPr>
        <w:t xml:space="preserve"> </w:t>
      </w:r>
    </w:p>
    <w:p w14:paraId="60C47C40" w14:textId="77777777" w:rsidR="0048568E" w:rsidRPr="00177154" w:rsidRDefault="003E7380" w:rsidP="00E30D4C">
      <w:pPr>
        <w:pStyle w:val="ListParagraph"/>
        <w:numPr>
          <w:ilvl w:val="0"/>
          <w:numId w:val="5"/>
        </w:numPr>
        <w:spacing w:before="240" w:after="120"/>
        <w:rPr>
          <w:szCs w:val="22"/>
          <w:lang w:val="fr-CA"/>
        </w:rPr>
      </w:pPr>
      <w:r w:rsidRPr="00177154">
        <w:rPr>
          <w:lang w:val="fr-CA"/>
        </w:rPr>
        <w:t>Les personnes vers lesquelles elle est attirée émotionnellement ou romantiquement.</w:t>
      </w:r>
      <w:bookmarkStart w:id="383" w:name="lt_pId510"/>
      <w:bookmarkEnd w:id="382"/>
      <w:r w:rsidRPr="00177154">
        <w:rPr>
          <w:lang w:val="fr-CA"/>
        </w:rPr>
        <w:t xml:space="preserve"> </w:t>
      </w:r>
    </w:p>
    <w:p w14:paraId="30B02952" w14:textId="3315A76B" w:rsidR="003E7380" w:rsidRPr="00177154" w:rsidRDefault="003E7380" w:rsidP="00E30D4C">
      <w:pPr>
        <w:pStyle w:val="ListParagraph"/>
        <w:numPr>
          <w:ilvl w:val="0"/>
          <w:numId w:val="5"/>
        </w:numPr>
        <w:spacing w:before="240" w:after="120"/>
        <w:rPr>
          <w:szCs w:val="22"/>
          <w:lang w:val="fr-CA"/>
        </w:rPr>
      </w:pPr>
      <w:r w:rsidRPr="00177154">
        <w:rPr>
          <w:lang w:val="fr-CA"/>
        </w:rPr>
        <w:t xml:space="preserve">Les personnes avec lesquelles elle a des relations intimes. </w:t>
      </w:r>
      <w:bookmarkEnd w:id="383"/>
    </w:p>
    <w:p w14:paraId="712E0A0D" w14:textId="106B64FD" w:rsidR="003E7380" w:rsidRPr="00177154" w:rsidRDefault="003E7380" w:rsidP="0048568E">
      <w:pPr>
        <w:pStyle w:val="Heading1"/>
        <w:rPr>
          <w:lang w:val="fr-CA"/>
        </w:rPr>
      </w:pPr>
      <w:bookmarkStart w:id="384" w:name="lt_pId512"/>
      <w:r w:rsidRPr="00177154">
        <w:rPr>
          <w:lang w:val="fr-CA"/>
        </w:rPr>
        <w:t>9.</w:t>
      </w:r>
      <w:bookmarkStart w:id="385" w:name="lt_pId513"/>
      <w:bookmarkEnd w:id="384"/>
      <w:r w:rsidRPr="00177154">
        <w:rPr>
          <w:lang w:val="fr-CA"/>
        </w:rPr>
        <w:t xml:space="preserve"> Préjugés liés à l’orientation sexuelle</w:t>
      </w:r>
      <w:bookmarkEnd w:id="385"/>
      <w:r w:rsidRPr="00177154">
        <w:rPr>
          <w:lang w:val="fr-CA"/>
        </w:rPr>
        <w:t xml:space="preserve"> </w:t>
      </w:r>
      <w:r w:rsidR="0048568E" w:rsidRPr="00177154">
        <w:rPr>
          <w:lang w:val="fr-CA"/>
        </w:rPr>
        <w:t>2</w:t>
      </w:r>
    </w:p>
    <w:p w14:paraId="289F1F08" w14:textId="0F00113E" w:rsidR="003E7380" w:rsidRPr="00177154" w:rsidRDefault="003E7380" w:rsidP="00E174E6">
      <w:pPr>
        <w:rPr>
          <w:szCs w:val="22"/>
          <w:lang w:val="fr-CA"/>
        </w:rPr>
      </w:pPr>
      <w:bookmarkStart w:id="386" w:name="lt_pId514"/>
      <w:r w:rsidRPr="00177154">
        <w:rPr>
          <w:lang w:val="fr-CA"/>
        </w:rPr>
        <w:t>Les préjugés envers des orientations non hétérosexuelles proviennent souvent des lieux de travail qui favorisent ou considèrent l’hétérosexualité comme la norme.</w:t>
      </w:r>
      <w:bookmarkEnd w:id="386"/>
      <w:r w:rsidRPr="00177154">
        <w:rPr>
          <w:lang w:val="fr-CA"/>
        </w:rPr>
        <w:t xml:space="preserve"> </w:t>
      </w:r>
      <w:bookmarkStart w:id="387" w:name="lt_pId515"/>
      <w:r w:rsidR="008A2A88" w:rsidRPr="00177154">
        <w:rPr>
          <w:lang w:val="fr-CA"/>
        </w:rPr>
        <w:t xml:space="preserve">Cette croyance, appelée </w:t>
      </w:r>
      <w:hyperlink r:id="rId63" w:anchor="a18" w:history="1">
        <w:r w:rsidR="008A2A88" w:rsidRPr="00177154">
          <w:rPr>
            <w:rStyle w:val="Hyperlink"/>
            <w:lang w:val="fr-CA"/>
          </w:rPr>
          <w:t>hétéronormativité</w:t>
        </w:r>
      </w:hyperlink>
      <w:r w:rsidR="008A2A88" w:rsidRPr="00177154">
        <w:rPr>
          <w:lang w:val="fr-CA"/>
        </w:rPr>
        <w:t>, peut faire en sorte que les membres du corps professoral et les stagiaires </w:t>
      </w:r>
      <w:hyperlink r:id="rId64" w:anchor="a1" w:history="1">
        <w:r w:rsidR="008A2A88" w:rsidRPr="00177154">
          <w:rPr>
            <w:rStyle w:val="Hyperlink"/>
            <w:lang w:val="fr-CA"/>
          </w:rPr>
          <w:t>2ELGBTQI+</w:t>
        </w:r>
      </w:hyperlink>
      <w:r w:rsidR="008A2A88" w:rsidRPr="00177154">
        <w:rPr>
          <w:lang w:val="fr-CA"/>
        </w:rPr>
        <w:t xml:space="preserve"> (</w:t>
      </w:r>
      <w:hyperlink r:id="rId65" w:anchor="a29" w:history="1">
        <w:r w:rsidR="008A2A88" w:rsidRPr="00177154">
          <w:rPr>
            <w:rStyle w:val="Hyperlink"/>
            <w:lang w:val="fr-CA"/>
          </w:rPr>
          <w:t>personnes bispirituelles</w:t>
        </w:r>
      </w:hyperlink>
      <w:r w:rsidR="008A2A88" w:rsidRPr="00177154">
        <w:rPr>
          <w:lang w:val="fr-CA"/>
        </w:rPr>
        <w:t xml:space="preserve">, </w:t>
      </w:r>
      <w:hyperlink r:id="rId66" w:anchor="a24" w:history="1">
        <w:r w:rsidR="008A2A88" w:rsidRPr="00177154">
          <w:rPr>
            <w:rStyle w:val="Hyperlink"/>
            <w:lang w:val="fr-CA"/>
          </w:rPr>
          <w:t>lesbiennes</w:t>
        </w:r>
      </w:hyperlink>
      <w:r w:rsidR="008A2A88" w:rsidRPr="00177154">
        <w:rPr>
          <w:lang w:val="fr-CA"/>
        </w:rPr>
        <w:t xml:space="preserve">, </w:t>
      </w:r>
      <w:hyperlink r:id="rId67" w:anchor="a31" w:history="1">
        <w:r w:rsidR="008A2A88" w:rsidRPr="00177154">
          <w:rPr>
            <w:rStyle w:val="Hyperlink"/>
            <w:lang w:val="fr-CA"/>
          </w:rPr>
          <w:t>gaies</w:t>
        </w:r>
      </w:hyperlink>
      <w:r w:rsidR="008A2A88" w:rsidRPr="00177154">
        <w:rPr>
          <w:lang w:val="fr-CA"/>
        </w:rPr>
        <w:t xml:space="preserve">, </w:t>
      </w:r>
      <w:hyperlink r:id="rId68" w:anchor="a28" w:history="1">
        <w:r w:rsidR="008A2A88" w:rsidRPr="00177154">
          <w:rPr>
            <w:rStyle w:val="Hyperlink"/>
            <w:lang w:val="fr-CA"/>
          </w:rPr>
          <w:t>bisexuelles</w:t>
        </w:r>
      </w:hyperlink>
      <w:r w:rsidR="008A2A88" w:rsidRPr="00177154">
        <w:rPr>
          <w:lang w:val="fr-CA"/>
        </w:rPr>
        <w:t xml:space="preserve">, </w:t>
      </w:r>
      <w:hyperlink r:id="rId69" w:anchor="a34" w:history="1">
        <w:r w:rsidR="008A2A88" w:rsidRPr="00177154">
          <w:rPr>
            <w:rStyle w:val="Hyperlink"/>
            <w:lang w:val="fr-CA"/>
          </w:rPr>
          <w:t>transgenres</w:t>
        </w:r>
      </w:hyperlink>
      <w:r w:rsidR="008A2A88" w:rsidRPr="00177154">
        <w:rPr>
          <w:lang w:val="fr-CA"/>
        </w:rPr>
        <w:t xml:space="preserve">, </w:t>
      </w:r>
      <w:hyperlink r:id="rId70" w:anchor="a40" w:history="1">
        <w:r w:rsidR="008A2A88" w:rsidRPr="00177154">
          <w:rPr>
            <w:rStyle w:val="Hyperlink"/>
            <w:lang w:val="fr-CA"/>
          </w:rPr>
          <w:t>queers</w:t>
        </w:r>
      </w:hyperlink>
      <w:r w:rsidR="008A2A88" w:rsidRPr="00177154">
        <w:rPr>
          <w:lang w:val="fr-CA"/>
        </w:rPr>
        <w:t xml:space="preserve">, </w:t>
      </w:r>
      <w:hyperlink r:id="rId71" w:anchor="a32" w:history="1">
        <w:r w:rsidR="008A2A88" w:rsidRPr="00177154">
          <w:rPr>
            <w:rStyle w:val="Hyperlink"/>
            <w:lang w:val="fr-CA"/>
          </w:rPr>
          <w:t>intersexuées</w:t>
        </w:r>
      </w:hyperlink>
      <w:r w:rsidR="008A2A88" w:rsidRPr="00177154">
        <w:rPr>
          <w:lang w:val="fr-CA"/>
        </w:rPr>
        <w:t xml:space="preserve"> et autres) se sentent marginalisés</w:t>
      </w:r>
      <w:r w:rsidRPr="00177154">
        <w:rPr>
          <w:lang w:val="fr-CA"/>
        </w:rPr>
        <w:t xml:space="preserve">. </w:t>
      </w:r>
      <w:bookmarkStart w:id="388" w:name="lt_pId516"/>
      <w:bookmarkEnd w:id="387"/>
      <w:r w:rsidRPr="00177154">
        <w:rPr>
          <w:lang w:val="fr-CA"/>
        </w:rPr>
        <w:t>Pour les scientifiques 2ELGBTQI+, la question de révéler ou non son orientation sexuelle est difficile en raison des risques de répercussions sur le travail et les relations.</w:t>
      </w:r>
      <w:bookmarkEnd w:id="388"/>
    </w:p>
    <w:p w14:paraId="7B764B8C" w14:textId="48ACFAB2" w:rsidR="003E7380" w:rsidRPr="00177154" w:rsidRDefault="003E7380" w:rsidP="0048568E">
      <w:pPr>
        <w:pStyle w:val="Heading1"/>
        <w:rPr>
          <w:lang w:val="fr-CA"/>
        </w:rPr>
      </w:pPr>
      <w:bookmarkStart w:id="389" w:name="lt_pId518"/>
      <w:r w:rsidRPr="00177154">
        <w:rPr>
          <w:lang w:val="fr-CA"/>
        </w:rPr>
        <w:t>9.</w:t>
      </w:r>
      <w:bookmarkStart w:id="390" w:name="lt_pId519"/>
      <w:bookmarkEnd w:id="389"/>
      <w:r w:rsidRPr="00177154">
        <w:rPr>
          <w:lang w:val="fr-CA"/>
        </w:rPr>
        <w:t xml:space="preserve"> Préjugés liés à l’orientation sexuelle</w:t>
      </w:r>
      <w:bookmarkEnd w:id="390"/>
      <w:r w:rsidRPr="00177154">
        <w:rPr>
          <w:lang w:val="fr-CA"/>
        </w:rPr>
        <w:t xml:space="preserve"> </w:t>
      </w:r>
      <w:r w:rsidR="00FE7295" w:rsidRPr="00177154">
        <w:rPr>
          <w:lang w:val="fr-CA"/>
        </w:rPr>
        <w:t>3</w:t>
      </w:r>
    </w:p>
    <w:p w14:paraId="238B36B8" w14:textId="1BA52FF6" w:rsidR="003E7380" w:rsidRPr="00177154" w:rsidRDefault="003E7380" w:rsidP="00E174E6">
      <w:pPr>
        <w:rPr>
          <w:lang w:val="fr-CA"/>
        </w:rPr>
      </w:pPr>
      <w:bookmarkStart w:id="391" w:name="lt_pId520"/>
      <w:r w:rsidRPr="00177154">
        <w:rPr>
          <w:lang w:val="fr-CA"/>
        </w:rPr>
        <w:t>Par exemple, Alex s’apprête à soumettre un article révolutionnaire à une revue scientifique prestigieuse.</w:t>
      </w:r>
      <w:bookmarkEnd w:id="391"/>
      <w:r w:rsidRPr="00177154">
        <w:rPr>
          <w:lang w:val="fr-CA"/>
        </w:rPr>
        <w:t xml:space="preserve"> </w:t>
      </w:r>
      <w:bookmarkStart w:id="392" w:name="lt_pId521"/>
      <w:r w:rsidRPr="00177154">
        <w:rPr>
          <w:lang w:val="fr-CA"/>
        </w:rPr>
        <w:t xml:space="preserve">Utilisez le bouton à l’écran pour en savoir plus sur son conflit intérieur par rapport au dévoilement de son orientation </w:t>
      </w:r>
      <w:r w:rsidR="009F6E32" w:rsidRPr="00177154">
        <w:rPr>
          <w:lang w:val="fr-CA"/>
        </w:rPr>
        <w:t>sexuelle (</w:t>
      </w:r>
      <w:hyperlink r:id="rId72" w:anchor="a1" w:history="1">
        <w:r w:rsidR="009F6E32" w:rsidRPr="00177154">
          <w:rPr>
            <w:rStyle w:val="Hyperlink"/>
            <w:lang w:val="fr-CA"/>
          </w:rPr>
          <w:t>2ELGBTQI+</w:t>
        </w:r>
      </w:hyperlink>
      <w:r w:rsidR="009F6E32" w:rsidRPr="00177154">
        <w:rPr>
          <w:lang w:val="fr-CA"/>
        </w:rPr>
        <w:t xml:space="preserve">) dans </w:t>
      </w:r>
      <w:r w:rsidRPr="00177154">
        <w:rPr>
          <w:lang w:val="fr-CA"/>
        </w:rPr>
        <w:t xml:space="preserve">sa notice biographique. </w:t>
      </w:r>
      <w:bookmarkStart w:id="393" w:name="lt_pId522"/>
      <w:bookmarkEnd w:id="392"/>
      <w:r w:rsidRPr="00177154">
        <w:rPr>
          <w:lang w:val="fr-CA"/>
        </w:rPr>
        <w:t xml:space="preserve">Vu sa crainte de subir des préjugés, Alex choisit de ne pas divulguer son orientation sexuelle de manière à limiter le risque que des préjugés aient une incidence négative sur l’évaluation de son travail. </w:t>
      </w:r>
      <w:bookmarkEnd w:id="393"/>
    </w:p>
    <w:p w14:paraId="6F800A79" w14:textId="77777777" w:rsidR="003E7380" w:rsidRPr="00177154" w:rsidRDefault="003E7380" w:rsidP="00FE7295">
      <w:pPr>
        <w:pStyle w:val="Heading2"/>
        <w:rPr>
          <w:lang w:val="fr-CA"/>
        </w:rPr>
      </w:pPr>
      <w:bookmarkStart w:id="394" w:name="lt_pId525"/>
      <w:r w:rsidRPr="00177154">
        <w:rPr>
          <w:lang w:val="fr-CA"/>
        </w:rPr>
        <w:t>Divulguer son orientation sexuelle</w:t>
      </w:r>
      <w:bookmarkEnd w:id="394"/>
    </w:p>
    <w:p w14:paraId="2602B60E" w14:textId="39A15549" w:rsidR="003E7380" w:rsidRPr="00177154" w:rsidRDefault="003E7380" w:rsidP="00E174E6">
      <w:pPr>
        <w:rPr>
          <w:lang w:val="fr-CA"/>
        </w:rPr>
      </w:pPr>
      <w:bookmarkStart w:id="395" w:name="lt_pId526"/>
      <w:r w:rsidRPr="00177154">
        <w:rPr>
          <w:lang w:val="fr-CA"/>
        </w:rPr>
        <w:t xml:space="preserve">Pour les </w:t>
      </w:r>
      <w:r w:rsidR="00456309" w:rsidRPr="00177154">
        <w:rPr>
          <w:lang w:val="fr-CA"/>
        </w:rPr>
        <w:t>personnes </w:t>
      </w:r>
      <w:hyperlink r:id="rId73" w:anchor="a1" w:history="1">
        <w:r w:rsidR="00456309" w:rsidRPr="00177154">
          <w:rPr>
            <w:rStyle w:val="Hyperlink"/>
            <w:lang w:val="fr-CA"/>
          </w:rPr>
          <w:t>2ELGBTQI+</w:t>
        </w:r>
      </w:hyperlink>
      <w:r w:rsidR="00456309" w:rsidRPr="00177154">
        <w:rPr>
          <w:lang w:val="fr-CA"/>
        </w:rPr>
        <w:t xml:space="preserve"> qui </w:t>
      </w:r>
      <w:r w:rsidRPr="00177154">
        <w:rPr>
          <w:lang w:val="fr-CA"/>
        </w:rPr>
        <w:t xml:space="preserve">évoluent dans le domaine de la recherche, choisir de ne pas divulguer son orientation sexuelle peut signifier ne pas intégrer pleinement son identité personnelle dans son travail. </w:t>
      </w:r>
      <w:bookmarkStart w:id="396" w:name="lt_pId527"/>
      <w:bookmarkEnd w:id="395"/>
      <w:r w:rsidRPr="00177154">
        <w:rPr>
          <w:lang w:val="fr-CA"/>
        </w:rPr>
        <w:t xml:space="preserve">Cela peut mener à l’exercice d’une vigilance constante pour cacher son orientation, à des relations tendues avec les collègues ou les stagiaires, et à des effets néfastes sur la santé mentale. </w:t>
      </w:r>
      <w:bookmarkStart w:id="397" w:name="lt_pId528"/>
      <w:bookmarkEnd w:id="396"/>
      <w:r w:rsidRPr="00177154">
        <w:rPr>
          <w:lang w:val="fr-CA"/>
        </w:rPr>
        <w:t xml:space="preserve">Les personnes qui ont révélé leur orientation sexuelle font état de difficultés comme la perte de crédibilité, l’exclusion, l’hostilité et le harcèlement, qui peuvent nuire à leurs travaux. </w:t>
      </w:r>
      <w:bookmarkStart w:id="398" w:name="lt_pId529"/>
      <w:bookmarkEnd w:id="397"/>
      <w:r w:rsidRPr="00177154">
        <w:rPr>
          <w:lang w:val="fr-CA"/>
        </w:rPr>
        <w:t xml:space="preserve">De surcroît, les </w:t>
      </w:r>
      <w:hyperlink r:id="rId74" w:anchor="a38" w:history="1">
        <w:r w:rsidRPr="0039491C">
          <w:rPr>
            <w:rStyle w:val="Hyperlink"/>
            <w:lang w:val="fr-CA"/>
          </w:rPr>
          <w:t xml:space="preserve">préjugés liés </w:t>
        </w:r>
        <w:r w:rsidR="005309D3" w:rsidRPr="0039491C">
          <w:rPr>
            <w:rStyle w:val="Hyperlink"/>
            <w:lang w:val="fr-CA"/>
          </w:rPr>
          <w:t>au genre</w:t>
        </w:r>
      </w:hyperlink>
      <w:r w:rsidRPr="00177154">
        <w:rPr>
          <w:lang w:val="fr-CA"/>
        </w:rPr>
        <w:t>, à la race et aux capacités peuvent se conjuguer et entraver davantage les progrès et la créativité.</w:t>
      </w:r>
      <w:bookmarkEnd w:id="398"/>
    </w:p>
    <w:p w14:paraId="6B05F1B4" w14:textId="05C142D6" w:rsidR="00E72799" w:rsidRPr="00177154" w:rsidRDefault="00E72799" w:rsidP="00E72799">
      <w:pPr>
        <w:pStyle w:val="Heading1"/>
        <w:rPr>
          <w:szCs w:val="22"/>
          <w:lang w:val="fr-CA"/>
        </w:rPr>
      </w:pPr>
      <w:r w:rsidRPr="00177154">
        <w:rPr>
          <w:lang w:val="fr-CA"/>
        </w:rPr>
        <w:t xml:space="preserve">Choix </w:t>
      </w:r>
      <w:r w:rsidR="002F3CB0">
        <w:rPr>
          <w:lang w:val="fr-CA"/>
        </w:rPr>
        <w:t>m</w:t>
      </w:r>
      <w:r w:rsidR="002F3CB0" w:rsidRPr="00177154">
        <w:rPr>
          <w:lang w:val="fr-CA"/>
        </w:rPr>
        <w:t xml:space="preserve">ultiple </w:t>
      </w:r>
      <w:r w:rsidRPr="00177154">
        <w:rPr>
          <w:lang w:val="fr-CA"/>
        </w:rPr>
        <w:t>7</w:t>
      </w:r>
    </w:p>
    <w:p w14:paraId="510EF0A1" w14:textId="32D02B19" w:rsidR="003E7380" w:rsidRPr="00177154" w:rsidRDefault="003E7380" w:rsidP="00E174E6">
      <w:pPr>
        <w:rPr>
          <w:lang w:val="fr-CA"/>
        </w:rPr>
      </w:pPr>
      <w:bookmarkStart w:id="399" w:name="lt_pId531"/>
      <w:r w:rsidRPr="00177154">
        <w:rPr>
          <w:lang w:val="fr-CA"/>
        </w:rPr>
        <w:t xml:space="preserve">Sélectionnez le terme correspondant aux définitions. </w:t>
      </w:r>
      <w:bookmarkStart w:id="400" w:name="lt_pId532"/>
      <w:bookmarkEnd w:id="399"/>
      <w:r w:rsidRPr="00177154">
        <w:rPr>
          <w:lang w:val="fr-CA"/>
        </w:rPr>
        <w:t xml:space="preserve">Vous pouvez consulter la définition de chaque terme dans </w:t>
      </w:r>
      <w:r w:rsidR="003A4285" w:rsidRPr="00177154">
        <w:rPr>
          <w:lang w:val="fr-CA"/>
        </w:rPr>
        <w:t xml:space="preserve">le </w:t>
      </w:r>
      <w:hyperlink r:id="rId75" w:history="1">
        <w:r w:rsidR="003A4285" w:rsidRPr="00177154">
          <w:rPr>
            <w:rStyle w:val="Hyperlink"/>
            <w:lang w:val="fr-CA"/>
          </w:rPr>
          <w:t>glossaire</w:t>
        </w:r>
      </w:hyperlink>
      <w:r w:rsidRPr="00177154">
        <w:rPr>
          <w:lang w:val="fr-CA"/>
        </w:rPr>
        <w:t>.</w:t>
      </w:r>
      <w:bookmarkEnd w:id="400"/>
    </w:p>
    <w:p w14:paraId="45323D82" w14:textId="77777777" w:rsidR="003E7380" w:rsidRPr="00177154" w:rsidRDefault="003E7380" w:rsidP="00E30D4C">
      <w:pPr>
        <w:pStyle w:val="ListParagraph"/>
        <w:numPr>
          <w:ilvl w:val="0"/>
          <w:numId w:val="9"/>
        </w:numPr>
        <w:rPr>
          <w:lang w:val="fr-CA"/>
        </w:rPr>
      </w:pPr>
      <w:bookmarkStart w:id="401" w:name="lt_pId533"/>
      <w:r w:rsidRPr="00177154">
        <w:rPr>
          <w:lang w:val="fr-CA"/>
        </w:rPr>
        <w:t>Désigne une personne dont le genre ne correspond pas au modèle binaire homme/femme.</w:t>
      </w:r>
      <w:bookmarkEnd w:id="401"/>
    </w:p>
    <w:p w14:paraId="336E8915" w14:textId="77777777" w:rsidR="003E7380" w:rsidRPr="00177154" w:rsidRDefault="003E7380" w:rsidP="00E30D4C">
      <w:pPr>
        <w:pStyle w:val="ListParagraph"/>
        <w:numPr>
          <w:ilvl w:val="1"/>
          <w:numId w:val="9"/>
        </w:numPr>
        <w:rPr>
          <w:lang w:val="fr-CA"/>
        </w:rPr>
      </w:pPr>
      <w:bookmarkStart w:id="402" w:name="lt_pId534"/>
      <w:r w:rsidRPr="00177154">
        <w:rPr>
          <w:lang w:val="fr-CA"/>
        </w:rPr>
        <w:t>Non binaire</w:t>
      </w:r>
      <w:bookmarkEnd w:id="402"/>
    </w:p>
    <w:p w14:paraId="00C5E327" w14:textId="77777777" w:rsidR="003E7380" w:rsidRPr="00177154" w:rsidRDefault="003E7380" w:rsidP="00E30D4C">
      <w:pPr>
        <w:pStyle w:val="ListParagraph"/>
        <w:numPr>
          <w:ilvl w:val="0"/>
          <w:numId w:val="9"/>
        </w:numPr>
        <w:rPr>
          <w:lang w:val="fr-CA"/>
        </w:rPr>
      </w:pPr>
      <w:bookmarkStart w:id="403" w:name="lt_pId535"/>
      <w:r w:rsidRPr="00177154">
        <w:rPr>
          <w:lang w:val="fr-CA"/>
        </w:rPr>
        <w:t>Personne dont l’identité de genre ne correspond pas à celle généralement associée au sexe qui lui a été assigné à la naissance.</w:t>
      </w:r>
      <w:bookmarkEnd w:id="403"/>
    </w:p>
    <w:p w14:paraId="42A807BD" w14:textId="77777777" w:rsidR="003E7380" w:rsidRPr="00177154" w:rsidRDefault="003E7380" w:rsidP="00E30D4C">
      <w:pPr>
        <w:pStyle w:val="ListParagraph"/>
        <w:numPr>
          <w:ilvl w:val="1"/>
          <w:numId w:val="9"/>
        </w:numPr>
        <w:rPr>
          <w:lang w:val="fr-CA"/>
        </w:rPr>
      </w:pPr>
      <w:bookmarkStart w:id="404" w:name="lt_pId536"/>
      <w:r w:rsidRPr="00177154">
        <w:rPr>
          <w:lang w:val="fr-CA"/>
        </w:rPr>
        <w:t>Personne transgenre</w:t>
      </w:r>
      <w:bookmarkEnd w:id="404"/>
    </w:p>
    <w:p w14:paraId="32819D74" w14:textId="77777777" w:rsidR="003E7380" w:rsidRPr="00177154" w:rsidRDefault="003E7380" w:rsidP="00E30D4C">
      <w:pPr>
        <w:pStyle w:val="ListParagraph"/>
        <w:numPr>
          <w:ilvl w:val="0"/>
          <w:numId w:val="9"/>
        </w:numPr>
        <w:rPr>
          <w:lang w:val="fr-CA"/>
        </w:rPr>
      </w:pPr>
      <w:bookmarkStart w:id="405" w:name="lt_pId537"/>
      <w:r w:rsidRPr="00177154">
        <w:rPr>
          <w:lang w:val="fr-CA"/>
        </w:rPr>
        <w:t>Personne dont l’identité de genre correspond au sexe qui lui a été assigné à la naissance.</w:t>
      </w:r>
      <w:bookmarkEnd w:id="405"/>
    </w:p>
    <w:p w14:paraId="31824AD3" w14:textId="77777777" w:rsidR="003E7380" w:rsidRPr="00177154" w:rsidRDefault="003E7380" w:rsidP="00E30D4C">
      <w:pPr>
        <w:pStyle w:val="ListParagraph"/>
        <w:numPr>
          <w:ilvl w:val="1"/>
          <w:numId w:val="9"/>
        </w:numPr>
        <w:rPr>
          <w:lang w:val="fr-CA"/>
        </w:rPr>
      </w:pPr>
      <w:bookmarkStart w:id="406" w:name="lt_pId538"/>
      <w:r w:rsidRPr="00177154">
        <w:rPr>
          <w:lang w:val="fr-CA"/>
        </w:rPr>
        <w:lastRenderedPageBreak/>
        <w:t>Personne cisgenre</w:t>
      </w:r>
      <w:bookmarkEnd w:id="406"/>
    </w:p>
    <w:p w14:paraId="59C3486B" w14:textId="77777777" w:rsidR="003E7380" w:rsidRPr="00177154" w:rsidRDefault="003E7380" w:rsidP="00E30D4C">
      <w:pPr>
        <w:pStyle w:val="ListParagraph"/>
        <w:numPr>
          <w:ilvl w:val="0"/>
          <w:numId w:val="9"/>
        </w:numPr>
        <w:rPr>
          <w:lang w:val="fr-CA"/>
        </w:rPr>
      </w:pPr>
      <w:bookmarkStart w:id="407" w:name="lt_pId539"/>
      <w:r w:rsidRPr="00177154">
        <w:rPr>
          <w:lang w:val="fr-CA"/>
        </w:rPr>
        <w:t>Rôles, identités, expressions et comportements établis par la société pour les filles, les femmes, les garçons, les hommes et les personnes de diverses identités de genre.</w:t>
      </w:r>
      <w:bookmarkEnd w:id="407"/>
      <w:r w:rsidRPr="00177154">
        <w:rPr>
          <w:lang w:val="fr-CA"/>
        </w:rPr>
        <w:t xml:space="preserve"> </w:t>
      </w:r>
      <w:bookmarkStart w:id="408" w:name="lt_pId540"/>
      <w:r w:rsidRPr="00177154">
        <w:rPr>
          <w:lang w:val="fr-CA"/>
        </w:rPr>
        <w:t>Il influence la perception qu’ont les gens d’eux-mêmes et d’autrui, leur façon d’agir et d’interagir ainsi que la répartition du pouvoir et des ressources dans la société.</w:t>
      </w:r>
      <w:bookmarkEnd w:id="408"/>
    </w:p>
    <w:p w14:paraId="33BE1C65" w14:textId="77777777" w:rsidR="003E7380" w:rsidRPr="00177154" w:rsidRDefault="003E7380" w:rsidP="00E30D4C">
      <w:pPr>
        <w:pStyle w:val="ListParagraph"/>
        <w:numPr>
          <w:ilvl w:val="1"/>
          <w:numId w:val="9"/>
        </w:numPr>
        <w:rPr>
          <w:lang w:val="fr-CA"/>
        </w:rPr>
      </w:pPr>
      <w:bookmarkStart w:id="409" w:name="lt_pId541"/>
      <w:r w:rsidRPr="00177154">
        <w:rPr>
          <w:lang w:val="fr-CA"/>
        </w:rPr>
        <w:t>Genre</w:t>
      </w:r>
      <w:bookmarkEnd w:id="409"/>
    </w:p>
    <w:p w14:paraId="0A82E92D" w14:textId="77777777" w:rsidR="003E7380" w:rsidRPr="00177154" w:rsidRDefault="003E7380" w:rsidP="00E72799">
      <w:pPr>
        <w:pStyle w:val="Heading1"/>
        <w:rPr>
          <w:szCs w:val="22"/>
          <w:lang w:val="fr-CA"/>
        </w:rPr>
      </w:pPr>
      <w:bookmarkStart w:id="410" w:name="lt_pId555"/>
      <w:r w:rsidRPr="00177154">
        <w:rPr>
          <w:lang w:val="fr-CA"/>
        </w:rPr>
        <w:t>Conclusion</w:t>
      </w:r>
      <w:bookmarkEnd w:id="410"/>
    </w:p>
    <w:p w14:paraId="5B381FD0" w14:textId="77777777" w:rsidR="003E7380" w:rsidRPr="00177154" w:rsidRDefault="003E7380" w:rsidP="00DF7945">
      <w:pPr>
        <w:pStyle w:val="Heading2"/>
        <w:rPr>
          <w:lang w:val="fr-CA"/>
        </w:rPr>
      </w:pPr>
      <w:bookmarkStart w:id="411" w:name="lt_pId557"/>
      <w:r w:rsidRPr="00177154">
        <w:rPr>
          <w:lang w:val="fr-CA"/>
        </w:rPr>
        <w:t>Récapitulons</w:t>
      </w:r>
      <w:bookmarkEnd w:id="411"/>
    </w:p>
    <w:p w14:paraId="5831C562" w14:textId="7D8FCC09" w:rsidR="003E7380" w:rsidRPr="00177154" w:rsidRDefault="003E7380" w:rsidP="00E174E6">
      <w:pPr>
        <w:rPr>
          <w:szCs w:val="22"/>
          <w:lang w:val="fr-CA"/>
        </w:rPr>
      </w:pPr>
      <w:bookmarkStart w:id="412" w:name="lt_pId558"/>
      <w:r w:rsidRPr="00177154">
        <w:rPr>
          <w:lang w:val="fr-CA"/>
        </w:rPr>
        <w:t>Nous avons vu dans ce module que </w:t>
      </w:r>
      <w:bookmarkStart w:id="413" w:name="lt_pId559"/>
      <w:bookmarkEnd w:id="412"/>
      <w:r w:rsidR="006A024F" w:rsidRPr="00177154">
        <w:rPr>
          <w:lang w:val="fr-CA"/>
        </w:rPr>
        <w:t>l</w:t>
      </w:r>
      <w:r w:rsidRPr="00177154">
        <w:rPr>
          <w:lang w:val="fr-CA"/>
        </w:rPr>
        <w:t>es préjugés sont des raccourcis mentaux façonnés par l’éducation, la culture et l’expérience, qui conduisent à des suppositions discriminatoires.</w:t>
      </w:r>
      <w:bookmarkStart w:id="414" w:name="lt_pId560"/>
      <w:bookmarkEnd w:id="413"/>
      <w:r w:rsidR="006A024F" w:rsidRPr="00177154">
        <w:rPr>
          <w:lang w:val="fr-CA"/>
        </w:rPr>
        <w:t xml:space="preserve"> </w:t>
      </w:r>
      <w:r w:rsidRPr="00177154">
        <w:rPr>
          <w:lang w:val="fr-CA"/>
        </w:rPr>
        <w:t>Les préjugés systémiques inhérents aux normes sociales et institutionnelles peuvent créer des inégalités d’accès pour les groupes sous-représentés dans la recherche.</w:t>
      </w:r>
      <w:bookmarkStart w:id="415" w:name="lt_pId561"/>
      <w:bookmarkEnd w:id="414"/>
      <w:r w:rsidR="006A024F" w:rsidRPr="00177154">
        <w:rPr>
          <w:lang w:val="fr-CA"/>
        </w:rPr>
        <w:t xml:space="preserve"> </w:t>
      </w:r>
      <w:r w:rsidRPr="00177154">
        <w:rPr>
          <w:lang w:val="fr-CA"/>
        </w:rPr>
        <w:t xml:space="preserve">Les personnes faisant partie de ces </w:t>
      </w:r>
      <w:hyperlink r:id="rId76" w:anchor="a16" w:history="1">
        <w:r w:rsidRPr="008A05D6">
          <w:rPr>
            <w:rStyle w:val="Hyperlink"/>
            <w:lang w:val="fr-CA"/>
          </w:rPr>
          <w:t>groupes sous-représentés</w:t>
        </w:r>
      </w:hyperlink>
      <w:r w:rsidRPr="00177154">
        <w:rPr>
          <w:lang w:val="fr-CA"/>
        </w:rPr>
        <w:t xml:space="preserve"> sont confrontées à de multiples formes d’inégalité, qui peuvent limiter leur contribution à la recherche.</w:t>
      </w:r>
      <w:bookmarkStart w:id="416" w:name="lt_pId562"/>
      <w:bookmarkEnd w:id="415"/>
      <w:r w:rsidR="006A024F" w:rsidRPr="00177154">
        <w:rPr>
          <w:lang w:val="fr-CA"/>
        </w:rPr>
        <w:t xml:space="preserve"> </w:t>
      </w:r>
      <w:r w:rsidRPr="00177154">
        <w:rPr>
          <w:lang w:val="fr-CA"/>
        </w:rPr>
        <w:t xml:space="preserve">Les préjugés liés au </w:t>
      </w:r>
      <w:hyperlink r:id="rId77" w:anchor="a13" w:history="1">
        <w:r w:rsidRPr="006E35B0">
          <w:rPr>
            <w:rStyle w:val="Hyperlink"/>
            <w:lang w:val="fr-CA"/>
          </w:rPr>
          <w:t>genre</w:t>
        </w:r>
      </w:hyperlink>
      <w:r w:rsidRPr="00177154">
        <w:rPr>
          <w:lang w:val="fr-CA"/>
        </w:rPr>
        <w:t>, à l’orientation sexuelle, à la race, aux handicaps (</w:t>
      </w:r>
      <w:hyperlink r:id="rId78" w:anchor="a5" w:history="1">
        <w:r w:rsidRPr="002609F4">
          <w:rPr>
            <w:rStyle w:val="Hyperlink"/>
            <w:lang w:val="fr-CA"/>
          </w:rPr>
          <w:t>capacités</w:t>
        </w:r>
      </w:hyperlink>
      <w:r w:rsidRPr="00177154">
        <w:rPr>
          <w:lang w:val="fr-CA"/>
        </w:rPr>
        <w:t>), à l’</w:t>
      </w:r>
      <w:hyperlink r:id="rId79" w:anchor="a2" w:history="1">
        <w:r w:rsidRPr="00434080">
          <w:rPr>
            <w:rStyle w:val="Hyperlink"/>
            <w:lang w:val="fr-CA"/>
          </w:rPr>
          <w:t>âge</w:t>
        </w:r>
      </w:hyperlink>
      <w:r w:rsidRPr="00177154">
        <w:rPr>
          <w:lang w:val="fr-CA"/>
        </w:rPr>
        <w:t xml:space="preserve"> et à l’établissement peuvent influencer les décisions de financement et les résultats de la recherche.</w:t>
      </w:r>
      <w:bookmarkStart w:id="417" w:name="lt_pId563"/>
      <w:bookmarkEnd w:id="416"/>
      <w:r w:rsidR="006A024F" w:rsidRPr="00177154">
        <w:rPr>
          <w:lang w:val="fr-CA"/>
        </w:rPr>
        <w:t xml:space="preserve"> </w:t>
      </w:r>
      <w:r w:rsidRPr="00177154">
        <w:rPr>
          <w:lang w:val="fr-CA"/>
        </w:rPr>
        <w:t>Le module 2 se penchera sur des aspects spécifiques du processus d’évaluation où les préjugés ont une incidence sur les décisions de financement et sur les stratégies pour les atténuer efficacement.</w:t>
      </w:r>
      <w:bookmarkEnd w:id="417"/>
    </w:p>
    <w:p w14:paraId="086E387E" w14:textId="77777777" w:rsidR="003E7380" w:rsidRPr="00177154" w:rsidRDefault="003E7380" w:rsidP="006A024F">
      <w:pPr>
        <w:pStyle w:val="Heading1"/>
        <w:rPr>
          <w:lang w:val="fr-CA"/>
        </w:rPr>
      </w:pPr>
      <w:bookmarkStart w:id="418" w:name="lt_pId565"/>
      <w:r w:rsidRPr="00177154">
        <w:rPr>
          <w:lang w:val="fr-CA"/>
        </w:rPr>
        <w:t>Sondage</w:t>
      </w:r>
      <w:bookmarkEnd w:id="418"/>
    </w:p>
    <w:p w14:paraId="0779DEDE" w14:textId="3A5347BC" w:rsidR="003E7380" w:rsidRPr="00177154" w:rsidRDefault="003E7380" w:rsidP="00E174E6">
      <w:pPr>
        <w:rPr>
          <w:lang w:val="fr-CA"/>
        </w:rPr>
      </w:pPr>
      <w:bookmarkStart w:id="419" w:name="lt_pId566"/>
      <w:r w:rsidRPr="00177154">
        <w:rPr>
          <w:lang w:val="fr-CA"/>
        </w:rPr>
        <w:t xml:space="preserve">Avant de conclure le module, nous vous prions de remplir </w:t>
      </w:r>
      <w:hyperlink r:id="rId80" w:history="1">
        <w:r w:rsidRPr="00CF543B">
          <w:rPr>
            <w:rStyle w:val="Hyperlink"/>
            <w:lang w:val="fr-CA"/>
          </w:rPr>
          <w:t>ce formulaire</w:t>
        </w:r>
      </w:hyperlink>
      <w:r w:rsidRPr="00177154">
        <w:rPr>
          <w:lang w:val="fr-CA"/>
        </w:rPr>
        <w:t xml:space="preserve"> afin d’aider les trois organismes à faire un suivi des apprentissages et à améliorer leurs produits.</w:t>
      </w:r>
      <w:bookmarkEnd w:id="419"/>
      <w:r w:rsidRPr="00177154">
        <w:rPr>
          <w:lang w:val="fr-CA"/>
        </w:rPr>
        <w:t xml:space="preserve">  </w:t>
      </w:r>
    </w:p>
    <w:p w14:paraId="56F6B7FF" w14:textId="77777777" w:rsidR="006A024F" w:rsidRPr="00177154" w:rsidRDefault="006A024F" w:rsidP="006A024F">
      <w:pPr>
        <w:pStyle w:val="Heading1"/>
        <w:rPr>
          <w:lang w:val="fr-CA"/>
        </w:rPr>
      </w:pPr>
      <w:bookmarkStart w:id="420" w:name="lt_pId570"/>
      <w:r w:rsidRPr="00177154">
        <w:rPr>
          <w:lang w:val="fr-CA"/>
        </w:rPr>
        <w:t>Merci</w:t>
      </w:r>
    </w:p>
    <w:p w14:paraId="18B2391A" w14:textId="1BAC1FC5" w:rsidR="003E7380" w:rsidRPr="00177154" w:rsidRDefault="003E7380" w:rsidP="006A024F">
      <w:pPr>
        <w:rPr>
          <w:lang w:val="fr-CA"/>
        </w:rPr>
      </w:pPr>
      <w:r w:rsidRPr="00177154">
        <w:rPr>
          <w:lang w:val="fr-CA"/>
        </w:rPr>
        <w:t>Merci d’avoir suivi ce module d’apprentissage.</w:t>
      </w:r>
      <w:bookmarkStart w:id="421" w:name="lt_pId571"/>
      <w:bookmarkEnd w:id="420"/>
      <w:r w:rsidR="006A024F" w:rsidRPr="00177154">
        <w:rPr>
          <w:lang w:val="fr-CA"/>
        </w:rPr>
        <w:t xml:space="preserve"> </w:t>
      </w:r>
      <w:r w:rsidRPr="00177154">
        <w:rPr>
          <w:lang w:val="fr-CA"/>
        </w:rPr>
        <w:t>Entrez votre nom pour générer un certificat.</w:t>
      </w:r>
      <w:bookmarkEnd w:id="421"/>
    </w:p>
    <w:p w14:paraId="7260BBD9" w14:textId="77777777" w:rsidR="003E7380" w:rsidRPr="00177154" w:rsidRDefault="003E7380" w:rsidP="006A024F">
      <w:pPr>
        <w:pStyle w:val="Heading1"/>
        <w:rPr>
          <w:rStyle w:val="Strong"/>
          <w:b/>
          <w:bCs/>
          <w:lang w:val="fr-CA"/>
        </w:rPr>
      </w:pPr>
      <w:bookmarkStart w:id="422" w:name="lt_pId583"/>
      <w:r w:rsidRPr="00177154">
        <w:rPr>
          <w:rStyle w:val="Strong"/>
          <w:b/>
          <w:bCs/>
          <w:lang w:val="fr-CA"/>
        </w:rPr>
        <w:t>Autres ressources</w:t>
      </w:r>
      <w:bookmarkEnd w:id="422"/>
    </w:p>
    <w:p w14:paraId="041364D2" w14:textId="77777777" w:rsidR="003E7380" w:rsidRPr="00177154" w:rsidRDefault="003E7380" w:rsidP="00E174E6">
      <w:pPr>
        <w:rPr>
          <w:lang w:val="fr-CA"/>
        </w:rPr>
      </w:pPr>
      <w:bookmarkStart w:id="423" w:name="lt_pId584"/>
      <w:r w:rsidRPr="00177154">
        <w:rPr>
          <w:lang w:val="fr-CA"/>
        </w:rPr>
        <w:t>Pour plus de renseignements sur certaines des questions abordées dans le module, consultez les ressources suivantes :</w:t>
      </w:r>
      <w:bookmarkEnd w:id="423"/>
      <w:r w:rsidRPr="00177154">
        <w:rPr>
          <w:lang w:val="fr-CA"/>
        </w:rPr>
        <w:t>  </w:t>
      </w:r>
    </w:p>
    <w:bookmarkStart w:id="424" w:name="lt_pId585"/>
    <w:p w14:paraId="770F6D54" w14:textId="77777777" w:rsidR="003E7380" w:rsidRPr="00177154" w:rsidRDefault="003E7380" w:rsidP="00E30D4C">
      <w:pPr>
        <w:pStyle w:val="ListParagraph"/>
        <w:numPr>
          <w:ilvl w:val="0"/>
          <w:numId w:val="10"/>
        </w:numPr>
        <w:rPr>
          <w:lang w:val="fr-CA"/>
        </w:rPr>
      </w:pPr>
      <w:r w:rsidRPr="00177154">
        <w:rPr>
          <w:lang w:val="fr-CA"/>
        </w:rPr>
        <w:lastRenderedPageBreak/>
        <w:fldChar w:fldCharType="begin"/>
      </w:r>
      <w:r w:rsidRPr="00177154">
        <w:rPr>
          <w:lang w:val="fr-CA"/>
        </w:rPr>
        <w:instrText>HYPERLINK "https://ethics.gc.ca/fra/tcps2-eptc2_2022_chapter9-chapitre9.html" \t "_blank"</w:instrText>
      </w:r>
      <w:r w:rsidRPr="00177154">
        <w:rPr>
          <w:lang w:val="fr-CA"/>
        </w:rPr>
      </w:r>
      <w:r w:rsidRPr="00177154">
        <w:rPr>
          <w:lang w:val="fr-CA"/>
        </w:rPr>
        <w:fldChar w:fldCharType="separate"/>
      </w:r>
      <w:r w:rsidRPr="00177154">
        <w:rPr>
          <w:rStyle w:val="Hyperlink"/>
          <w:lang w:val="fr-CA"/>
        </w:rPr>
        <w:t>EPTC-2 (2022) – Chapitre 9 : Recherche auprès des Premières Nations, des Inuits et des Métis du Canada</w:t>
      </w:r>
      <w:r w:rsidRPr="00177154">
        <w:rPr>
          <w:lang w:val="fr-CA"/>
        </w:rPr>
        <w:fldChar w:fldCharType="end"/>
      </w:r>
      <w:bookmarkStart w:id="425" w:name="lt_pId586"/>
      <w:bookmarkEnd w:id="424"/>
      <w:r w:rsidRPr="00177154">
        <w:rPr>
          <w:lang w:val="fr-CA"/>
        </w:rPr>
        <w:t xml:space="preserve"> </w:t>
      </w:r>
    </w:p>
    <w:p w14:paraId="25E233B1" w14:textId="77777777" w:rsidR="003E7380" w:rsidRPr="00177154" w:rsidRDefault="003E7380" w:rsidP="00E30D4C">
      <w:pPr>
        <w:pStyle w:val="ListParagraph"/>
        <w:numPr>
          <w:ilvl w:val="0"/>
          <w:numId w:val="10"/>
        </w:numPr>
        <w:rPr>
          <w:lang w:val="fr-CA"/>
        </w:rPr>
      </w:pPr>
      <w:hyperlink r:id="rId81" w:history="1">
        <w:r w:rsidRPr="00177154">
          <w:rPr>
            <w:rStyle w:val="Hyperlink"/>
            <w:lang w:val="fr-CA"/>
          </w:rPr>
          <w:t>Énoncé des trois organismes sur l’équité, la diversité et l’inclusion</w:t>
        </w:r>
      </w:hyperlink>
      <w:bookmarkEnd w:id="425"/>
    </w:p>
    <w:p w14:paraId="71E5D0A9" w14:textId="77777777" w:rsidR="003E7380" w:rsidRPr="006A024F" w:rsidRDefault="003E7380" w:rsidP="00E174E6">
      <w:pPr>
        <w:rPr>
          <w:lang w:val="fr-CA"/>
        </w:rPr>
      </w:pPr>
      <w:bookmarkStart w:id="426" w:name="lt_pId587"/>
      <w:r w:rsidRPr="00177154">
        <w:rPr>
          <w:lang w:val="fr-CA"/>
        </w:rPr>
        <w:t>Si vous avez des questions sur la manière dont les concepts présentés s’appliquent à un processus d’évaluation particulier, veuillez communiquer avec l’organisme en question.</w:t>
      </w:r>
      <w:bookmarkEnd w:id="426"/>
    </w:p>
    <w:sectPr w:rsidR="003E7380" w:rsidRPr="006A024F" w:rsidSect="008532E8">
      <w:headerReference w:type="default" r:id="rId82"/>
      <w:footerReference w:type="default" r:id="rId83"/>
      <w:headerReference w:type="first" r:id="rId84"/>
      <w:footerReference w:type="first" r:id="rId85"/>
      <w:type w:val="continuous"/>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42C74" w14:textId="77777777" w:rsidR="00E50F76" w:rsidRDefault="00E50F76" w:rsidP="00D44256">
      <w:r>
        <w:separator/>
      </w:r>
    </w:p>
  </w:endnote>
  <w:endnote w:type="continuationSeparator" w:id="0">
    <w:p w14:paraId="32AFFBF6" w14:textId="77777777" w:rsidR="00E50F76" w:rsidRDefault="00E50F76" w:rsidP="00D44256">
      <w:r>
        <w:continuationSeparator/>
      </w:r>
    </w:p>
  </w:endnote>
  <w:endnote w:type="continuationNotice" w:id="1">
    <w:p w14:paraId="5AF18F1D" w14:textId="77777777" w:rsidR="00E50F76" w:rsidRDefault="00E50F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FD56D" w14:textId="5258CD7D" w:rsidR="003147DA" w:rsidRPr="00102EDA" w:rsidRDefault="003147DA" w:rsidP="003147DA">
    <w:pPr>
      <w:pStyle w:val="Footer"/>
      <w:rPr>
        <w:lang w:val="en-CA"/>
      </w:rPr>
    </w:pPr>
    <w:r>
      <w:rPr>
        <w:lang w:val="en-CA"/>
      </w:rPr>
      <w:t>Page </w:t>
    </w:r>
    <w:r w:rsidRPr="003147DA">
      <w:rPr>
        <w:b/>
        <w:bCs/>
        <w:lang w:val="en-CA"/>
      </w:rPr>
      <w:fldChar w:fldCharType="begin"/>
    </w:r>
    <w:r w:rsidRPr="003147DA">
      <w:rPr>
        <w:b/>
        <w:bCs/>
        <w:lang w:val="en-CA"/>
      </w:rPr>
      <w:instrText xml:space="preserve"> PAGE   \* MERGEFORMAT </w:instrText>
    </w:r>
    <w:r w:rsidRPr="003147DA">
      <w:rPr>
        <w:b/>
        <w:bCs/>
        <w:lang w:val="en-CA"/>
      </w:rPr>
      <w:fldChar w:fldCharType="separate"/>
    </w:r>
    <w:r>
      <w:rPr>
        <w:b/>
        <w:bCs/>
        <w:lang w:val="en-CA"/>
      </w:rPr>
      <w:t>1</w:t>
    </w:r>
    <w:r w:rsidRPr="003147DA">
      <w:rPr>
        <w:b/>
        <w:bCs/>
        <w:lang w:val="en-CA"/>
      </w:rPr>
      <w:fldChar w:fldCharType="end"/>
    </w:r>
    <w:r>
      <w:rPr>
        <w:lang w:val="en-CA"/>
      </w:rPr>
      <w:t> </w:t>
    </w:r>
    <w:r w:rsidR="00FB500D">
      <w:rPr>
        <w:lang w:val="en-CA"/>
      </w:rPr>
      <w:t>de</w:t>
    </w:r>
    <w:r>
      <w:rPr>
        <w:lang w:val="en-CA"/>
      </w:rPr>
      <w:t> </w:t>
    </w:r>
    <w:r>
      <w:rPr>
        <w:lang w:val="en-CA"/>
      </w:rPr>
      <w:fldChar w:fldCharType="begin"/>
    </w:r>
    <w:r>
      <w:rPr>
        <w:lang w:val="en-CA"/>
      </w:rPr>
      <w:instrText xml:space="preserve"> NUMPAGES   \* MERGEFORMAT </w:instrText>
    </w:r>
    <w:r>
      <w:rPr>
        <w:lang w:val="en-CA"/>
      </w:rPr>
      <w:fldChar w:fldCharType="separate"/>
    </w:r>
    <w:r>
      <w:rPr>
        <w:lang w:val="en-CA"/>
      </w:rPr>
      <w:t>2</w:t>
    </w:r>
    <w:r>
      <w:rPr>
        <w:lang w:val="en-C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D5832" w14:textId="0F4A3901" w:rsidR="005E03FF" w:rsidRPr="00102EDA" w:rsidRDefault="00102EDA">
    <w:pPr>
      <w:pStyle w:val="Footer"/>
      <w:rPr>
        <w:lang w:val="en-CA"/>
      </w:rPr>
    </w:pPr>
    <w:r>
      <w:rPr>
        <w:lang w:val="en-CA"/>
      </w:rPr>
      <w:t>Page </w:t>
    </w:r>
    <w:r w:rsidR="005633F4" w:rsidRPr="003147DA">
      <w:rPr>
        <w:b/>
        <w:bCs/>
        <w:lang w:val="en-CA"/>
      </w:rPr>
      <w:fldChar w:fldCharType="begin"/>
    </w:r>
    <w:r w:rsidR="005633F4" w:rsidRPr="003147DA">
      <w:rPr>
        <w:b/>
        <w:bCs/>
        <w:lang w:val="en-CA"/>
      </w:rPr>
      <w:instrText xml:space="preserve"> PAGE   \* MERGEFORMAT </w:instrText>
    </w:r>
    <w:r w:rsidR="005633F4" w:rsidRPr="003147DA">
      <w:rPr>
        <w:b/>
        <w:bCs/>
        <w:lang w:val="en-CA"/>
      </w:rPr>
      <w:fldChar w:fldCharType="separate"/>
    </w:r>
    <w:r w:rsidR="005633F4" w:rsidRPr="003147DA">
      <w:rPr>
        <w:b/>
        <w:bCs/>
        <w:noProof/>
        <w:lang w:val="en-CA"/>
      </w:rPr>
      <w:t>2</w:t>
    </w:r>
    <w:r w:rsidR="005633F4" w:rsidRPr="003147DA">
      <w:rPr>
        <w:b/>
        <w:bCs/>
        <w:lang w:val="en-CA"/>
      </w:rPr>
      <w:fldChar w:fldCharType="end"/>
    </w:r>
    <w:r w:rsidR="003147DA">
      <w:rPr>
        <w:lang w:val="en-CA"/>
      </w:rPr>
      <w:t> </w:t>
    </w:r>
    <w:r w:rsidR="003253B1">
      <w:rPr>
        <w:lang w:val="en-CA"/>
      </w:rPr>
      <w:t>de</w:t>
    </w:r>
    <w:r w:rsidR="003147DA">
      <w:rPr>
        <w:lang w:val="en-CA"/>
      </w:rPr>
      <w:t> </w:t>
    </w:r>
    <w:r w:rsidR="003147DA">
      <w:rPr>
        <w:lang w:val="en-CA"/>
      </w:rPr>
      <w:fldChar w:fldCharType="begin"/>
    </w:r>
    <w:r w:rsidR="003147DA">
      <w:rPr>
        <w:lang w:val="en-CA"/>
      </w:rPr>
      <w:instrText xml:space="preserve"> NUMPAGES   \* MERGEFORMAT </w:instrText>
    </w:r>
    <w:r w:rsidR="003147DA">
      <w:rPr>
        <w:lang w:val="en-CA"/>
      </w:rPr>
      <w:fldChar w:fldCharType="separate"/>
    </w:r>
    <w:r w:rsidR="003147DA">
      <w:rPr>
        <w:noProof/>
        <w:lang w:val="en-CA"/>
      </w:rPr>
      <w:t>2</w:t>
    </w:r>
    <w:r w:rsidR="003147DA">
      <w:rPr>
        <w:lang w:val="en-C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439F0" w14:textId="77777777" w:rsidR="00E50F76" w:rsidRDefault="00E50F76" w:rsidP="00D44256">
      <w:r>
        <w:separator/>
      </w:r>
    </w:p>
  </w:footnote>
  <w:footnote w:type="continuationSeparator" w:id="0">
    <w:p w14:paraId="6759C01D" w14:textId="77777777" w:rsidR="00E50F76" w:rsidRDefault="00E50F76" w:rsidP="00D44256">
      <w:r>
        <w:continuationSeparator/>
      </w:r>
    </w:p>
  </w:footnote>
  <w:footnote w:type="continuationNotice" w:id="1">
    <w:p w14:paraId="280C26E2" w14:textId="77777777" w:rsidR="00E50F76" w:rsidRDefault="00E50F7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3CCD0" w14:textId="44E16A1D" w:rsidR="007015BE" w:rsidRPr="00666860" w:rsidRDefault="00000000" w:rsidP="006A5B58">
    <w:pPr>
      <w:pStyle w:val="Header"/>
      <w:pBdr>
        <w:bottom w:val="single" w:sz="4" w:space="1" w:color="auto"/>
      </w:pBdr>
      <w:tabs>
        <w:tab w:val="clear" w:pos="9360"/>
        <w:tab w:val="right" w:pos="10065"/>
      </w:tabs>
      <w:jc w:val="left"/>
      <w:rPr>
        <w:sz w:val="24"/>
        <w:szCs w:val="24"/>
        <w:lang w:val="fr-CA"/>
      </w:rPr>
    </w:pPr>
    <w:sdt>
      <w:sdtPr>
        <w:rPr>
          <w:sz w:val="24"/>
          <w:szCs w:val="24"/>
          <w:lang w:val="fr-CA"/>
        </w:rPr>
        <w:alias w:val="Title"/>
        <w:tag w:val=""/>
        <w:id w:val="1480497750"/>
        <w:placeholder>
          <w:docPart w:val="C2E1F8AC425C477FA8D7DFC7C486D328"/>
        </w:placeholder>
        <w:dataBinding w:prefixMappings="xmlns:ns0='http://purl.org/dc/elements/1.1/' xmlns:ns1='http://schemas.openxmlformats.org/package/2006/metadata/core-properties' " w:xpath="/ns1:coreProperties[1]/ns0:title[1]" w:storeItemID="{6C3C8BC8-F283-45AE-878A-BAB7291924A1}"/>
        <w:text/>
      </w:sdtPr>
      <w:sdtContent>
        <w:r w:rsidR="001E49C2">
          <w:rPr>
            <w:sz w:val="24"/>
            <w:szCs w:val="24"/>
            <w:lang w:val="fr-CA"/>
          </w:rPr>
          <w:t>P</w:t>
        </w:r>
        <w:r w:rsidR="001E49C2" w:rsidRPr="001E49C2">
          <w:rPr>
            <w:sz w:val="24"/>
            <w:szCs w:val="24"/>
            <w:lang w:val="fr-CA"/>
          </w:rPr>
          <w:t>réjugés dans l'évaluation par les pairs - Transcription</w:t>
        </w:r>
      </w:sdtContent>
    </w:sdt>
    <w:r w:rsidR="00ED0F52" w:rsidRPr="00666860">
      <w:rPr>
        <w:sz w:val="24"/>
        <w:szCs w:val="24"/>
        <w:lang w:val="fr-CA"/>
      </w:rPr>
      <w:tab/>
    </w:r>
    <w:sdt>
      <w:sdtPr>
        <w:rPr>
          <w:sz w:val="24"/>
          <w:szCs w:val="24"/>
          <w:lang w:val="fr-CA"/>
        </w:rPr>
        <w:alias w:val="Publish Date"/>
        <w:tag w:val=""/>
        <w:id w:val="-1014074682"/>
        <w:placeholder>
          <w:docPart w:val="4BE4141853AE465388AD40597F27AF43"/>
        </w:placeholder>
        <w:dataBinding w:prefixMappings="xmlns:ns0='http://schemas.microsoft.com/office/2006/coverPageProps' " w:xpath="/ns0:CoverPageProperties[1]/ns0:PublishDate[1]" w:storeItemID="{55AF091B-3C7A-41E3-B477-F2FDAA23CFDA}"/>
        <w:date w:fullDate="2025-11-06T00:00:00Z">
          <w:dateFormat w:val="yyyy-MM-dd"/>
          <w:lid w:val="en-CA"/>
          <w:storeMappedDataAs w:val="dateTime"/>
          <w:calendar w:val="gregorian"/>
        </w:date>
      </w:sdtPr>
      <w:sdtContent>
        <w:r w:rsidR="00E72191" w:rsidRPr="00E72191">
          <w:rPr>
            <w:sz w:val="24"/>
            <w:szCs w:val="24"/>
            <w:lang w:val="fr-CA"/>
          </w:rPr>
          <w:t>2025-11-06</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18D36" w14:textId="6550A3C4" w:rsidR="006C2AD2" w:rsidRDefault="008816B6" w:rsidP="009A7AC3">
    <w:pPr>
      <w:pStyle w:val="Header"/>
      <w:tabs>
        <w:tab w:val="clear" w:pos="9360"/>
        <w:tab w:val="right" w:pos="10065"/>
      </w:tabs>
      <w:jc w:val="left"/>
    </w:pPr>
    <w:r>
      <w:rPr>
        <w:noProof/>
      </w:rPr>
      <w:drawing>
        <wp:inline distT="0" distB="0" distL="0" distR="0" wp14:anchorId="26EE3EEB" wp14:editId="1CF08AED">
          <wp:extent cx="3086100" cy="276225"/>
          <wp:effectExtent l="0" t="0" r="0" b="9525"/>
          <wp:docPr id="113892614" name="Picture 4" descr="Signature avec drapeau des Instituts de recherche en santé du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92614" name="Picture 4" descr="Signature avec drapeau des Instituts de recherche en santé du Ca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6100" cy="276225"/>
                  </a:xfrm>
                  <a:prstGeom prst="rect">
                    <a:avLst/>
                  </a:prstGeom>
                  <a:noFill/>
                  <a:ln>
                    <a:noFill/>
                  </a:ln>
                </pic:spPr>
              </pic:pic>
            </a:graphicData>
          </a:graphic>
        </wp:inline>
      </w:drawing>
    </w:r>
    <w:r w:rsidR="006C2AD2">
      <w:tab/>
    </w:r>
    <w:r w:rsidR="006C2AD2">
      <w:rPr>
        <w:noProof/>
      </w:rPr>
      <w:drawing>
        <wp:inline distT="0" distB="0" distL="0" distR="0" wp14:anchorId="68B4FA43" wp14:editId="73FCB971">
          <wp:extent cx="922267" cy="220609"/>
          <wp:effectExtent l="0" t="0" r="0" b="8255"/>
          <wp:docPr id="1791811539" name="Picture 3" descr="Le mot-symbole « Canad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963143" name="Picture 3" descr="Le mot-symbole « Canada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2025" cy="2755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D1CC6"/>
    <w:multiLevelType w:val="hybridMultilevel"/>
    <w:tmpl w:val="1B4EFE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6A87F39"/>
    <w:multiLevelType w:val="hybridMultilevel"/>
    <w:tmpl w:val="F222930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07E569D"/>
    <w:multiLevelType w:val="hybridMultilevel"/>
    <w:tmpl w:val="1716FBB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5BD2264"/>
    <w:multiLevelType w:val="hybridMultilevel"/>
    <w:tmpl w:val="13260AF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17B26B6"/>
    <w:multiLevelType w:val="hybridMultilevel"/>
    <w:tmpl w:val="BD3C3750"/>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AAD5B4E"/>
    <w:multiLevelType w:val="hybridMultilevel"/>
    <w:tmpl w:val="26A29E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1BF2759"/>
    <w:multiLevelType w:val="hybridMultilevel"/>
    <w:tmpl w:val="4CA47F6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B154D3C"/>
    <w:multiLevelType w:val="hybridMultilevel"/>
    <w:tmpl w:val="AEEAC4F2"/>
    <w:lvl w:ilvl="0" w:tplc="09EAC712">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FCF3703"/>
    <w:multiLevelType w:val="hybridMultilevel"/>
    <w:tmpl w:val="C2445FD2"/>
    <w:lvl w:ilvl="0" w:tplc="1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6BE2195"/>
    <w:multiLevelType w:val="hybridMultilevel"/>
    <w:tmpl w:val="B044C498"/>
    <w:lvl w:ilvl="0" w:tplc="10090015">
      <w:start w:val="1"/>
      <w:numFmt w:val="upperLetter"/>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D0F6D0A"/>
    <w:multiLevelType w:val="hybridMultilevel"/>
    <w:tmpl w:val="EFC6198E"/>
    <w:lvl w:ilvl="0" w:tplc="10090015">
      <w:start w:val="1"/>
      <w:numFmt w:val="upp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978191153">
    <w:abstractNumId w:val="7"/>
  </w:num>
  <w:num w:numId="2" w16cid:durableId="700591245">
    <w:abstractNumId w:val="6"/>
  </w:num>
  <w:num w:numId="3" w16cid:durableId="2127775242">
    <w:abstractNumId w:val="2"/>
  </w:num>
  <w:num w:numId="4" w16cid:durableId="213203527">
    <w:abstractNumId w:val="1"/>
  </w:num>
  <w:num w:numId="5" w16cid:durableId="444272285">
    <w:abstractNumId w:val="8"/>
  </w:num>
  <w:num w:numId="6" w16cid:durableId="255790454">
    <w:abstractNumId w:val="0"/>
  </w:num>
  <w:num w:numId="7" w16cid:durableId="1044410397">
    <w:abstractNumId w:val="3"/>
  </w:num>
  <w:num w:numId="8" w16cid:durableId="2130199321">
    <w:abstractNumId w:val="4"/>
  </w:num>
  <w:num w:numId="9" w16cid:durableId="1018239440">
    <w:abstractNumId w:val="9"/>
  </w:num>
  <w:num w:numId="10" w16cid:durableId="1716927947">
    <w:abstractNumId w:val="5"/>
  </w:num>
  <w:num w:numId="11" w16cid:durableId="1711371952">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AD2"/>
    <w:rsid w:val="00000033"/>
    <w:rsid w:val="0000075A"/>
    <w:rsid w:val="0000567A"/>
    <w:rsid w:val="00005B68"/>
    <w:rsid w:val="00011D99"/>
    <w:rsid w:val="00012846"/>
    <w:rsid w:val="00015F92"/>
    <w:rsid w:val="00016815"/>
    <w:rsid w:val="00016930"/>
    <w:rsid w:val="00017F14"/>
    <w:rsid w:val="000205E9"/>
    <w:rsid w:val="000249C8"/>
    <w:rsid w:val="00030D67"/>
    <w:rsid w:val="000377D3"/>
    <w:rsid w:val="00041C1D"/>
    <w:rsid w:val="00046707"/>
    <w:rsid w:val="00051189"/>
    <w:rsid w:val="000523A6"/>
    <w:rsid w:val="000531BA"/>
    <w:rsid w:val="000559E0"/>
    <w:rsid w:val="00055D6A"/>
    <w:rsid w:val="000571FE"/>
    <w:rsid w:val="00057EAA"/>
    <w:rsid w:val="00057EE1"/>
    <w:rsid w:val="00063EA5"/>
    <w:rsid w:val="0006705D"/>
    <w:rsid w:val="00067674"/>
    <w:rsid w:val="0008242E"/>
    <w:rsid w:val="00086331"/>
    <w:rsid w:val="0008648D"/>
    <w:rsid w:val="0009601F"/>
    <w:rsid w:val="0009656D"/>
    <w:rsid w:val="000A0B92"/>
    <w:rsid w:val="000A4B5D"/>
    <w:rsid w:val="000A6CBD"/>
    <w:rsid w:val="000A6D4E"/>
    <w:rsid w:val="000B2182"/>
    <w:rsid w:val="000B3D32"/>
    <w:rsid w:val="000C3039"/>
    <w:rsid w:val="000C5621"/>
    <w:rsid w:val="000C5CB8"/>
    <w:rsid w:val="000D03E1"/>
    <w:rsid w:val="000D3A94"/>
    <w:rsid w:val="000E0DC7"/>
    <w:rsid w:val="000E161E"/>
    <w:rsid w:val="000E7748"/>
    <w:rsid w:val="00102EDA"/>
    <w:rsid w:val="00104FA0"/>
    <w:rsid w:val="0010580C"/>
    <w:rsid w:val="001111E8"/>
    <w:rsid w:val="00113B6A"/>
    <w:rsid w:val="00113DBE"/>
    <w:rsid w:val="00116ECF"/>
    <w:rsid w:val="00117E92"/>
    <w:rsid w:val="00120341"/>
    <w:rsid w:val="0012366B"/>
    <w:rsid w:val="001246D1"/>
    <w:rsid w:val="00126415"/>
    <w:rsid w:val="00126B2B"/>
    <w:rsid w:val="00126BCD"/>
    <w:rsid w:val="0012728C"/>
    <w:rsid w:val="00131A9D"/>
    <w:rsid w:val="00136422"/>
    <w:rsid w:val="00136F52"/>
    <w:rsid w:val="00137999"/>
    <w:rsid w:val="00140068"/>
    <w:rsid w:val="00140B1E"/>
    <w:rsid w:val="00150120"/>
    <w:rsid w:val="00151F57"/>
    <w:rsid w:val="001558EB"/>
    <w:rsid w:val="00160908"/>
    <w:rsid w:val="00162313"/>
    <w:rsid w:val="0016465B"/>
    <w:rsid w:val="00164C22"/>
    <w:rsid w:val="00166E18"/>
    <w:rsid w:val="00171CFC"/>
    <w:rsid w:val="00174977"/>
    <w:rsid w:val="00175FB8"/>
    <w:rsid w:val="00176732"/>
    <w:rsid w:val="00177154"/>
    <w:rsid w:val="001803D0"/>
    <w:rsid w:val="0018072E"/>
    <w:rsid w:val="0018114E"/>
    <w:rsid w:val="001853A6"/>
    <w:rsid w:val="00186547"/>
    <w:rsid w:val="0019092F"/>
    <w:rsid w:val="00192D7D"/>
    <w:rsid w:val="00194620"/>
    <w:rsid w:val="00194E88"/>
    <w:rsid w:val="00197B53"/>
    <w:rsid w:val="001A2F9F"/>
    <w:rsid w:val="001B00B3"/>
    <w:rsid w:val="001C627D"/>
    <w:rsid w:val="001D03BC"/>
    <w:rsid w:val="001D3233"/>
    <w:rsid w:val="001D3CBA"/>
    <w:rsid w:val="001E17E5"/>
    <w:rsid w:val="001E2645"/>
    <w:rsid w:val="001E49C2"/>
    <w:rsid w:val="001E6269"/>
    <w:rsid w:val="001F0194"/>
    <w:rsid w:val="001F045B"/>
    <w:rsid w:val="001F0C3A"/>
    <w:rsid w:val="00201B46"/>
    <w:rsid w:val="002026B9"/>
    <w:rsid w:val="002028F2"/>
    <w:rsid w:val="00203F06"/>
    <w:rsid w:val="00204A28"/>
    <w:rsid w:val="00206CA1"/>
    <w:rsid w:val="00207694"/>
    <w:rsid w:val="00215C1A"/>
    <w:rsid w:val="00216DCB"/>
    <w:rsid w:val="00217803"/>
    <w:rsid w:val="00222060"/>
    <w:rsid w:val="0022668D"/>
    <w:rsid w:val="00229282"/>
    <w:rsid w:val="00230D8E"/>
    <w:rsid w:val="00232356"/>
    <w:rsid w:val="002325F4"/>
    <w:rsid w:val="00236908"/>
    <w:rsid w:val="00236D2A"/>
    <w:rsid w:val="00240BBE"/>
    <w:rsid w:val="00240CCD"/>
    <w:rsid w:val="00245384"/>
    <w:rsid w:val="0024625E"/>
    <w:rsid w:val="00246DDE"/>
    <w:rsid w:val="002476DE"/>
    <w:rsid w:val="00247C32"/>
    <w:rsid w:val="0025377A"/>
    <w:rsid w:val="002609F4"/>
    <w:rsid w:val="00260EB6"/>
    <w:rsid w:val="00262812"/>
    <w:rsid w:val="0026290F"/>
    <w:rsid w:val="00263717"/>
    <w:rsid w:val="002757FA"/>
    <w:rsid w:val="002775E9"/>
    <w:rsid w:val="0028022A"/>
    <w:rsid w:val="00280DCF"/>
    <w:rsid w:val="0028248B"/>
    <w:rsid w:val="002834C7"/>
    <w:rsid w:val="00286625"/>
    <w:rsid w:val="00291AA5"/>
    <w:rsid w:val="002924EC"/>
    <w:rsid w:val="00296D75"/>
    <w:rsid w:val="002A1446"/>
    <w:rsid w:val="002B084E"/>
    <w:rsid w:val="002B25AE"/>
    <w:rsid w:val="002B2877"/>
    <w:rsid w:val="002B291C"/>
    <w:rsid w:val="002B393A"/>
    <w:rsid w:val="002B692C"/>
    <w:rsid w:val="002B6E72"/>
    <w:rsid w:val="002C34F9"/>
    <w:rsid w:val="002C3CF6"/>
    <w:rsid w:val="002C3FA5"/>
    <w:rsid w:val="002E0383"/>
    <w:rsid w:val="002E28E1"/>
    <w:rsid w:val="002E3916"/>
    <w:rsid w:val="002E40AD"/>
    <w:rsid w:val="002E6645"/>
    <w:rsid w:val="002E7D2E"/>
    <w:rsid w:val="002F3CB0"/>
    <w:rsid w:val="003012EF"/>
    <w:rsid w:val="003032DC"/>
    <w:rsid w:val="00314378"/>
    <w:rsid w:val="003147DA"/>
    <w:rsid w:val="003147E0"/>
    <w:rsid w:val="00315440"/>
    <w:rsid w:val="003174DD"/>
    <w:rsid w:val="00321B0E"/>
    <w:rsid w:val="003253B1"/>
    <w:rsid w:val="00330156"/>
    <w:rsid w:val="00330754"/>
    <w:rsid w:val="00330838"/>
    <w:rsid w:val="00336851"/>
    <w:rsid w:val="00341C74"/>
    <w:rsid w:val="00351B07"/>
    <w:rsid w:val="00354F58"/>
    <w:rsid w:val="00361CA6"/>
    <w:rsid w:val="00362A90"/>
    <w:rsid w:val="00364CE9"/>
    <w:rsid w:val="00365F6B"/>
    <w:rsid w:val="00367065"/>
    <w:rsid w:val="00367F28"/>
    <w:rsid w:val="00369BA9"/>
    <w:rsid w:val="003723D9"/>
    <w:rsid w:val="00372D0D"/>
    <w:rsid w:val="003734F7"/>
    <w:rsid w:val="00374A3C"/>
    <w:rsid w:val="00376E71"/>
    <w:rsid w:val="003850E6"/>
    <w:rsid w:val="0038511C"/>
    <w:rsid w:val="0039220D"/>
    <w:rsid w:val="00392CDA"/>
    <w:rsid w:val="0039491C"/>
    <w:rsid w:val="00394B06"/>
    <w:rsid w:val="0039790C"/>
    <w:rsid w:val="003A14A5"/>
    <w:rsid w:val="003A4285"/>
    <w:rsid w:val="003A42DA"/>
    <w:rsid w:val="003A6193"/>
    <w:rsid w:val="003A6731"/>
    <w:rsid w:val="003B210D"/>
    <w:rsid w:val="003B29D8"/>
    <w:rsid w:val="003B738C"/>
    <w:rsid w:val="003B7746"/>
    <w:rsid w:val="003C113B"/>
    <w:rsid w:val="003C5BA0"/>
    <w:rsid w:val="003C5CA1"/>
    <w:rsid w:val="003D159C"/>
    <w:rsid w:val="003D2E7D"/>
    <w:rsid w:val="003E0011"/>
    <w:rsid w:val="003E24B7"/>
    <w:rsid w:val="003E2ADC"/>
    <w:rsid w:val="003E5D34"/>
    <w:rsid w:val="003E7380"/>
    <w:rsid w:val="003F02F1"/>
    <w:rsid w:val="003F1563"/>
    <w:rsid w:val="003F1E76"/>
    <w:rsid w:val="003F2FA7"/>
    <w:rsid w:val="003F4F57"/>
    <w:rsid w:val="003F6331"/>
    <w:rsid w:val="003F73B5"/>
    <w:rsid w:val="0040257B"/>
    <w:rsid w:val="00404423"/>
    <w:rsid w:val="0040544F"/>
    <w:rsid w:val="00415F84"/>
    <w:rsid w:val="00420F75"/>
    <w:rsid w:val="0042165C"/>
    <w:rsid w:val="00426A95"/>
    <w:rsid w:val="0042795B"/>
    <w:rsid w:val="00434080"/>
    <w:rsid w:val="004341CF"/>
    <w:rsid w:val="00434DA1"/>
    <w:rsid w:val="0043689A"/>
    <w:rsid w:val="004441D2"/>
    <w:rsid w:val="0044463D"/>
    <w:rsid w:val="00446EF0"/>
    <w:rsid w:val="004517B9"/>
    <w:rsid w:val="004562E2"/>
    <w:rsid w:val="00456309"/>
    <w:rsid w:val="00461582"/>
    <w:rsid w:val="00464017"/>
    <w:rsid w:val="00470DB4"/>
    <w:rsid w:val="00472290"/>
    <w:rsid w:val="004823F9"/>
    <w:rsid w:val="0048568E"/>
    <w:rsid w:val="004856E5"/>
    <w:rsid w:val="00491EFC"/>
    <w:rsid w:val="0049206F"/>
    <w:rsid w:val="00494C87"/>
    <w:rsid w:val="00495BBF"/>
    <w:rsid w:val="00496629"/>
    <w:rsid w:val="004A1DEF"/>
    <w:rsid w:val="004B0D0E"/>
    <w:rsid w:val="004B20A2"/>
    <w:rsid w:val="004B44FB"/>
    <w:rsid w:val="004B6EA4"/>
    <w:rsid w:val="004C3A45"/>
    <w:rsid w:val="004C3AD7"/>
    <w:rsid w:val="004C6DD8"/>
    <w:rsid w:val="004D0096"/>
    <w:rsid w:val="004D054D"/>
    <w:rsid w:val="004D54D5"/>
    <w:rsid w:val="004D57C9"/>
    <w:rsid w:val="004E2C5E"/>
    <w:rsid w:val="004F2234"/>
    <w:rsid w:val="004F739C"/>
    <w:rsid w:val="00501934"/>
    <w:rsid w:val="005106DF"/>
    <w:rsid w:val="0051155F"/>
    <w:rsid w:val="00513DD6"/>
    <w:rsid w:val="00513F11"/>
    <w:rsid w:val="00517E28"/>
    <w:rsid w:val="00520E92"/>
    <w:rsid w:val="005228B0"/>
    <w:rsid w:val="00523449"/>
    <w:rsid w:val="00523CA1"/>
    <w:rsid w:val="005309D3"/>
    <w:rsid w:val="00533AEF"/>
    <w:rsid w:val="00536BB9"/>
    <w:rsid w:val="00545CE1"/>
    <w:rsid w:val="0055297E"/>
    <w:rsid w:val="0055479A"/>
    <w:rsid w:val="00560EB8"/>
    <w:rsid w:val="0056104A"/>
    <w:rsid w:val="00562FDE"/>
    <w:rsid w:val="005631F4"/>
    <w:rsid w:val="005633F4"/>
    <w:rsid w:val="00572B15"/>
    <w:rsid w:val="0057588F"/>
    <w:rsid w:val="00576E69"/>
    <w:rsid w:val="00583C5F"/>
    <w:rsid w:val="0059211E"/>
    <w:rsid w:val="00596F32"/>
    <w:rsid w:val="005A4FDD"/>
    <w:rsid w:val="005A69B5"/>
    <w:rsid w:val="005A7472"/>
    <w:rsid w:val="005B32DE"/>
    <w:rsid w:val="005B3D34"/>
    <w:rsid w:val="005C31BB"/>
    <w:rsid w:val="005C5118"/>
    <w:rsid w:val="005C7A44"/>
    <w:rsid w:val="005C7EAA"/>
    <w:rsid w:val="005D3C20"/>
    <w:rsid w:val="005D5767"/>
    <w:rsid w:val="005E03FF"/>
    <w:rsid w:val="005F0C21"/>
    <w:rsid w:val="005F0E3F"/>
    <w:rsid w:val="005F1EDE"/>
    <w:rsid w:val="005F26CF"/>
    <w:rsid w:val="005F441A"/>
    <w:rsid w:val="005F69A3"/>
    <w:rsid w:val="006022EB"/>
    <w:rsid w:val="006037BC"/>
    <w:rsid w:val="0060472C"/>
    <w:rsid w:val="00606BD7"/>
    <w:rsid w:val="00607990"/>
    <w:rsid w:val="0061291D"/>
    <w:rsid w:val="00617449"/>
    <w:rsid w:val="006204E1"/>
    <w:rsid w:val="00620C6C"/>
    <w:rsid w:val="006219D9"/>
    <w:rsid w:val="00624260"/>
    <w:rsid w:val="006257FB"/>
    <w:rsid w:val="00633045"/>
    <w:rsid w:val="00636A13"/>
    <w:rsid w:val="00637179"/>
    <w:rsid w:val="00640CD8"/>
    <w:rsid w:val="00644FDC"/>
    <w:rsid w:val="006543A0"/>
    <w:rsid w:val="00654C7A"/>
    <w:rsid w:val="00666860"/>
    <w:rsid w:val="006668E8"/>
    <w:rsid w:val="00666E49"/>
    <w:rsid w:val="0067019C"/>
    <w:rsid w:val="006754DA"/>
    <w:rsid w:val="006761A3"/>
    <w:rsid w:val="006812A3"/>
    <w:rsid w:val="006817EC"/>
    <w:rsid w:val="00682286"/>
    <w:rsid w:val="00683305"/>
    <w:rsid w:val="006838A9"/>
    <w:rsid w:val="006874FB"/>
    <w:rsid w:val="00690AA1"/>
    <w:rsid w:val="00692BC1"/>
    <w:rsid w:val="00693BF1"/>
    <w:rsid w:val="00694A58"/>
    <w:rsid w:val="006A024F"/>
    <w:rsid w:val="006A5B58"/>
    <w:rsid w:val="006B02FD"/>
    <w:rsid w:val="006B24C4"/>
    <w:rsid w:val="006B528D"/>
    <w:rsid w:val="006C238B"/>
    <w:rsid w:val="006C2A55"/>
    <w:rsid w:val="006C2AD2"/>
    <w:rsid w:val="006C504E"/>
    <w:rsid w:val="006C5B22"/>
    <w:rsid w:val="006C605F"/>
    <w:rsid w:val="006D4DAB"/>
    <w:rsid w:val="006E1010"/>
    <w:rsid w:val="006E2D20"/>
    <w:rsid w:val="006E35B0"/>
    <w:rsid w:val="006E4154"/>
    <w:rsid w:val="006F1222"/>
    <w:rsid w:val="006F2CA0"/>
    <w:rsid w:val="006F48EA"/>
    <w:rsid w:val="007015BE"/>
    <w:rsid w:val="00703518"/>
    <w:rsid w:val="00704FCA"/>
    <w:rsid w:val="0070525E"/>
    <w:rsid w:val="00706C90"/>
    <w:rsid w:val="00706E55"/>
    <w:rsid w:val="00707027"/>
    <w:rsid w:val="0070751C"/>
    <w:rsid w:val="00707DEA"/>
    <w:rsid w:val="00710BFE"/>
    <w:rsid w:val="0072227D"/>
    <w:rsid w:val="00722448"/>
    <w:rsid w:val="00722A8B"/>
    <w:rsid w:val="00731120"/>
    <w:rsid w:val="00735420"/>
    <w:rsid w:val="00741176"/>
    <w:rsid w:val="00747E1D"/>
    <w:rsid w:val="00747EF4"/>
    <w:rsid w:val="00750F04"/>
    <w:rsid w:val="0075583B"/>
    <w:rsid w:val="00755937"/>
    <w:rsid w:val="00761DC8"/>
    <w:rsid w:val="007621D1"/>
    <w:rsid w:val="0076464D"/>
    <w:rsid w:val="00765214"/>
    <w:rsid w:val="0076729C"/>
    <w:rsid w:val="00767DE1"/>
    <w:rsid w:val="00772CA9"/>
    <w:rsid w:val="0077314B"/>
    <w:rsid w:val="00774008"/>
    <w:rsid w:val="00774037"/>
    <w:rsid w:val="00776DB7"/>
    <w:rsid w:val="00790058"/>
    <w:rsid w:val="00793F95"/>
    <w:rsid w:val="00796617"/>
    <w:rsid w:val="007A104B"/>
    <w:rsid w:val="007A1207"/>
    <w:rsid w:val="007A317E"/>
    <w:rsid w:val="007A41FC"/>
    <w:rsid w:val="007A4DF1"/>
    <w:rsid w:val="007A55AC"/>
    <w:rsid w:val="007A55DB"/>
    <w:rsid w:val="007B0BF4"/>
    <w:rsid w:val="007B1590"/>
    <w:rsid w:val="007B1851"/>
    <w:rsid w:val="007B391D"/>
    <w:rsid w:val="007B6956"/>
    <w:rsid w:val="007C5EEB"/>
    <w:rsid w:val="007C6153"/>
    <w:rsid w:val="007C6E93"/>
    <w:rsid w:val="007C7784"/>
    <w:rsid w:val="007D3BB8"/>
    <w:rsid w:val="007E2A8C"/>
    <w:rsid w:val="007E4AC7"/>
    <w:rsid w:val="007F0609"/>
    <w:rsid w:val="007F30B2"/>
    <w:rsid w:val="007F3B52"/>
    <w:rsid w:val="007F7027"/>
    <w:rsid w:val="0080302C"/>
    <w:rsid w:val="008047D9"/>
    <w:rsid w:val="008076EC"/>
    <w:rsid w:val="0081316E"/>
    <w:rsid w:val="008201CD"/>
    <w:rsid w:val="0082067D"/>
    <w:rsid w:val="00822798"/>
    <w:rsid w:val="008255C5"/>
    <w:rsid w:val="0082732E"/>
    <w:rsid w:val="00831340"/>
    <w:rsid w:val="00837652"/>
    <w:rsid w:val="00837D10"/>
    <w:rsid w:val="0084022D"/>
    <w:rsid w:val="008438CB"/>
    <w:rsid w:val="00843A1C"/>
    <w:rsid w:val="00843D43"/>
    <w:rsid w:val="00850117"/>
    <w:rsid w:val="008532E8"/>
    <w:rsid w:val="00854ED0"/>
    <w:rsid w:val="00860C31"/>
    <w:rsid w:val="00861C41"/>
    <w:rsid w:val="00863544"/>
    <w:rsid w:val="008637E0"/>
    <w:rsid w:val="0086418B"/>
    <w:rsid w:val="0086465F"/>
    <w:rsid w:val="00881017"/>
    <w:rsid w:val="008816B6"/>
    <w:rsid w:val="00882F7D"/>
    <w:rsid w:val="008867AD"/>
    <w:rsid w:val="00887798"/>
    <w:rsid w:val="00890688"/>
    <w:rsid w:val="00891079"/>
    <w:rsid w:val="00891128"/>
    <w:rsid w:val="008936C1"/>
    <w:rsid w:val="008A05D6"/>
    <w:rsid w:val="008A12C0"/>
    <w:rsid w:val="008A2A88"/>
    <w:rsid w:val="008A4F2E"/>
    <w:rsid w:val="008A70E5"/>
    <w:rsid w:val="008A785C"/>
    <w:rsid w:val="008B035E"/>
    <w:rsid w:val="008B1F67"/>
    <w:rsid w:val="008B5F62"/>
    <w:rsid w:val="008B6EED"/>
    <w:rsid w:val="008B7E93"/>
    <w:rsid w:val="008C02F5"/>
    <w:rsid w:val="008C0D2A"/>
    <w:rsid w:val="008C1A43"/>
    <w:rsid w:val="008C286A"/>
    <w:rsid w:val="008D1564"/>
    <w:rsid w:val="008D1C39"/>
    <w:rsid w:val="008D2F20"/>
    <w:rsid w:val="008E1538"/>
    <w:rsid w:val="008E24E3"/>
    <w:rsid w:val="008E40E2"/>
    <w:rsid w:val="008F33EB"/>
    <w:rsid w:val="008F43A1"/>
    <w:rsid w:val="008F6663"/>
    <w:rsid w:val="009032A8"/>
    <w:rsid w:val="00905270"/>
    <w:rsid w:val="00907CC5"/>
    <w:rsid w:val="00907D12"/>
    <w:rsid w:val="00907E40"/>
    <w:rsid w:val="0091036D"/>
    <w:rsid w:val="0091577D"/>
    <w:rsid w:val="0091611C"/>
    <w:rsid w:val="00921771"/>
    <w:rsid w:val="00921BFE"/>
    <w:rsid w:val="00922ACB"/>
    <w:rsid w:val="009236E4"/>
    <w:rsid w:val="00925412"/>
    <w:rsid w:val="00927D11"/>
    <w:rsid w:val="00927DEC"/>
    <w:rsid w:val="00930A9B"/>
    <w:rsid w:val="00933692"/>
    <w:rsid w:val="009365F4"/>
    <w:rsid w:val="00937619"/>
    <w:rsid w:val="00943A4B"/>
    <w:rsid w:val="00944599"/>
    <w:rsid w:val="00945DAF"/>
    <w:rsid w:val="00950453"/>
    <w:rsid w:val="009509E5"/>
    <w:rsid w:val="00952794"/>
    <w:rsid w:val="00956122"/>
    <w:rsid w:val="00974A3D"/>
    <w:rsid w:val="0097714F"/>
    <w:rsid w:val="00981FEF"/>
    <w:rsid w:val="00982BC3"/>
    <w:rsid w:val="0099244B"/>
    <w:rsid w:val="00992A35"/>
    <w:rsid w:val="009A1EE9"/>
    <w:rsid w:val="009A3340"/>
    <w:rsid w:val="009A7AC3"/>
    <w:rsid w:val="009B1CBF"/>
    <w:rsid w:val="009B1CD7"/>
    <w:rsid w:val="009B4D26"/>
    <w:rsid w:val="009B4D68"/>
    <w:rsid w:val="009C0555"/>
    <w:rsid w:val="009C735F"/>
    <w:rsid w:val="009D68C4"/>
    <w:rsid w:val="009D7387"/>
    <w:rsid w:val="009D7527"/>
    <w:rsid w:val="009E3792"/>
    <w:rsid w:val="009E5E8A"/>
    <w:rsid w:val="009E6590"/>
    <w:rsid w:val="009E6611"/>
    <w:rsid w:val="009E7921"/>
    <w:rsid w:val="009E7C48"/>
    <w:rsid w:val="009E7F60"/>
    <w:rsid w:val="009F255E"/>
    <w:rsid w:val="009F592E"/>
    <w:rsid w:val="009F6D6E"/>
    <w:rsid w:val="009F6E32"/>
    <w:rsid w:val="00A00D35"/>
    <w:rsid w:val="00A02F33"/>
    <w:rsid w:val="00A050B5"/>
    <w:rsid w:val="00A14161"/>
    <w:rsid w:val="00A166F0"/>
    <w:rsid w:val="00A17289"/>
    <w:rsid w:val="00A253D8"/>
    <w:rsid w:val="00A26A9B"/>
    <w:rsid w:val="00A27353"/>
    <w:rsid w:val="00A326F1"/>
    <w:rsid w:val="00A32FC5"/>
    <w:rsid w:val="00A3715C"/>
    <w:rsid w:val="00A40795"/>
    <w:rsid w:val="00A4683C"/>
    <w:rsid w:val="00A50003"/>
    <w:rsid w:val="00A5599E"/>
    <w:rsid w:val="00A57A33"/>
    <w:rsid w:val="00A61999"/>
    <w:rsid w:val="00A62935"/>
    <w:rsid w:val="00A636DF"/>
    <w:rsid w:val="00A734C2"/>
    <w:rsid w:val="00A77D9F"/>
    <w:rsid w:val="00A821F5"/>
    <w:rsid w:val="00A84FEA"/>
    <w:rsid w:val="00A85C2A"/>
    <w:rsid w:val="00A870E4"/>
    <w:rsid w:val="00A9185A"/>
    <w:rsid w:val="00A977BE"/>
    <w:rsid w:val="00AA28D0"/>
    <w:rsid w:val="00AA3621"/>
    <w:rsid w:val="00AA3BF6"/>
    <w:rsid w:val="00AA667F"/>
    <w:rsid w:val="00AA717F"/>
    <w:rsid w:val="00AB058B"/>
    <w:rsid w:val="00AB1685"/>
    <w:rsid w:val="00AB2735"/>
    <w:rsid w:val="00AB3300"/>
    <w:rsid w:val="00AB4909"/>
    <w:rsid w:val="00AB57A1"/>
    <w:rsid w:val="00AB60CC"/>
    <w:rsid w:val="00AB7EF8"/>
    <w:rsid w:val="00AC2B5E"/>
    <w:rsid w:val="00AD06AB"/>
    <w:rsid w:val="00AD437C"/>
    <w:rsid w:val="00AD4CD6"/>
    <w:rsid w:val="00AD4D81"/>
    <w:rsid w:val="00AD5F63"/>
    <w:rsid w:val="00AD6420"/>
    <w:rsid w:val="00AE040A"/>
    <w:rsid w:val="00AE129F"/>
    <w:rsid w:val="00AE1A75"/>
    <w:rsid w:val="00AE4590"/>
    <w:rsid w:val="00AF0FA5"/>
    <w:rsid w:val="00AF255F"/>
    <w:rsid w:val="00AF3383"/>
    <w:rsid w:val="00B01089"/>
    <w:rsid w:val="00B0780D"/>
    <w:rsid w:val="00B11F42"/>
    <w:rsid w:val="00B128EE"/>
    <w:rsid w:val="00B1319B"/>
    <w:rsid w:val="00B15388"/>
    <w:rsid w:val="00B2007B"/>
    <w:rsid w:val="00B21021"/>
    <w:rsid w:val="00B212B1"/>
    <w:rsid w:val="00B21940"/>
    <w:rsid w:val="00B23A1C"/>
    <w:rsid w:val="00B24845"/>
    <w:rsid w:val="00B24B29"/>
    <w:rsid w:val="00B25F79"/>
    <w:rsid w:val="00B341D2"/>
    <w:rsid w:val="00B4409E"/>
    <w:rsid w:val="00B44A61"/>
    <w:rsid w:val="00B45C0B"/>
    <w:rsid w:val="00B45F91"/>
    <w:rsid w:val="00B518F4"/>
    <w:rsid w:val="00B52586"/>
    <w:rsid w:val="00B534AF"/>
    <w:rsid w:val="00B56A81"/>
    <w:rsid w:val="00B63E44"/>
    <w:rsid w:val="00B74138"/>
    <w:rsid w:val="00B801D7"/>
    <w:rsid w:val="00B82794"/>
    <w:rsid w:val="00B843CA"/>
    <w:rsid w:val="00B84BCE"/>
    <w:rsid w:val="00B950E5"/>
    <w:rsid w:val="00B955E8"/>
    <w:rsid w:val="00B979E2"/>
    <w:rsid w:val="00BA06A0"/>
    <w:rsid w:val="00BA075B"/>
    <w:rsid w:val="00BA3B0F"/>
    <w:rsid w:val="00BB30CD"/>
    <w:rsid w:val="00BB322B"/>
    <w:rsid w:val="00BB4BB1"/>
    <w:rsid w:val="00BB4C53"/>
    <w:rsid w:val="00BC0326"/>
    <w:rsid w:val="00BC1CFE"/>
    <w:rsid w:val="00BC253B"/>
    <w:rsid w:val="00BC4B68"/>
    <w:rsid w:val="00BC4CF5"/>
    <w:rsid w:val="00BC557F"/>
    <w:rsid w:val="00BC5D1D"/>
    <w:rsid w:val="00BD4F63"/>
    <w:rsid w:val="00BD5D2A"/>
    <w:rsid w:val="00BE063E"/>
    <w:rsid w:val="00BE15FC"/>
    <w:rsid w:val="00BE488C"/>
    <w:rsid w:val="00BF5B3C"/>
    <w:rsid w:val="00C03C96"/>
    <w:rsid w:val="00C04819"/>
    <w:rsid w:val="00C06BF8"/>
    <w:rsid w:val="00C07197"/>
    <w:rsid w:val="00C10DE7"/>
    <w:rsid w:val="00C1473F"/>
    <w:rsid w:val="00C1499F"/>
    <w:rsid w:val="00C15E13"/>
    <w:rsid w:val="00C162FD"/>
    <w:rsid w:val="00C16D0E"/>
    <w:rsid w:val="00C17220"/>
    <w:rsid w:val="00C2094A"/>
    <w:rsid w:val="00C23734"/>
    <w:rsid w:val="00C26189"/>
    <w:rsid w:val="00C272D9"/>
    <w:rsid w:val="00C36535"/>
    <w:rsid w:val="00C377AB"/>
    <w:rsid w:val="00C37E3F"/>
    <w:rsid w:val="00C42FD1"/>
    <w:rsid w:val="00C4799E"/>
    <w:rsid w:val="00C516EB"/>
    <w:rsid w:val="00C5250F"/>
    <w:rsid w:val="00C56D63"/>
    <w:rsid w:val="00C617A9"/>
    <w:rsid w:val="00C63071"/>
    <w:rsid w:val="00C70939"/>
    <w:rsid w:val="00C70FB6"/>
    <w:rsid w:val="00C71E69"/>
    <w:rsid w:val="00C75CDB"/>
    <w:rsid w:val="00C81AB2"/>
    <w:rsid w:val="00C87142"/>
    <w:rsid w:val="00C9382E"/>
    <w:rsid w:val="00C94713"/>
    <w:rsid w:val="00C968D8"/>
    <w:rsid w:val="00CA150E"/>
    <w:rsid w:val="00CA17E2"/>
    <w:rsid w:val="00CB1D24"/>
    <w:rsid w:val="00CB33A0"/>
    <w:rsid w:val="00CB5EB2"/>
    <w:rsid w:val="00CC5F3F"/>
    <w:rsid w:val="00CC5F79"/>
    <w:rsid w:val="00CD01D7"/>
    <w:rsid w:val="00CD021B"/>
    <w:rsid w:val="00CD1BB6"/>
    <w:rsid w:val="00CD4F6D"/>
    <w:rsid w:val="00CD5D36"/>
    <w:rsid w:val="00CD6C2C"/>
    <w:rsid w:val="00CE3ACB"/>
    <w:rsid w:val="00CE3B38"/>
    <w:rsid w:val="00CE42B9"/>
    <w:rsid w:val="00CF4F3D"/>
    <w:rsid w:val="00CF4F54"/>
    <w:rsid w:val="00CF543B"/>
    <w:rsid w:val="00D06C9D"/>
    <w:rsid w:val="00D07620"/>
    <w:rsid w:val="00D13AD9"/>
    <w:rsid w:val="00D23822"/>
    <w:rsid w:val="00D25221"/>
    <w:rsid w:val="00D257D8"/>
    <w:rsid w:val="00D25CFD"/>
    <w:rsid w:val="00D27D46"/>
    <w:rsid w:val="00D302FA"/>
    <w:rsid w:val="00D30FDA"/>
    <w:rsid w:val="00D31FAB"/>
    <w:rsid w:val="00D34337"/>
    <w:rsid w:val="00D346F2"/>
    <w:rsid w:val="00D36E2F"/>
    <w:rsid w:val="00D422FD"/>
    <w:rsid w:val="00D44256"/>
    <w:rsid w:val="00D443FA"/>
    <w:rsid w:val="00D637A2"/>
    <w:rsid w:val="00D64206"/>
    <w:rsid w:val="00D71D2A"/>
    <w:rsid w:val="00D73ABD"/>
    <w:rsid w:val="00D74DB5"/>
    <w:rsid w:val="00D75B11"/>
    <w:rsid w:val="00D842CE"/>
    <w:rsid w:val="00D85710"/>
    <w:rsid w:val="00D871DC"/>
    <w:rsid w:val="00D8760A"/>
    <w:rsid w:val="00D87A6B"/>
    <w:rsid w:val="00D95FD3"/>
    <w:rsid w:val="00DA5434"/>
    <w:rsid w:val="00DA621F"/>
    <w:rsid w:val="00DB0594"/>
    <w:rsid w:val="00DB1384"/>
    <w:rsid w:val="00DB278B"/>
    <w:rsid w:val="00DB39B0"/>
    <w:rsid w:val="00DC16CA"/>
    <w:rsid w:val="00DC295F"/>
    <w:rsid w:val="00DC38B5"/>
    <w:rsid w:val="00DC5E10"/>
    <w:rsid w:val="00DD035B"/>
    <w:rsid w:val="00DD35A9"/>
    <w:rsid w:val="00DD3D82"/>
    <w:rsid w:val="00DD427E"/>
    <w:rsid w:val="00DD78F6"/>
    <w:rsid w:val="00DD7E43"/>
    <w:rsid w:val="00DE2658"/>
    <w:rsid w:val="00DE7AC6"/>
    <w:rsid w:val="00DF0E6C"/>
    <w:rsid w:val="00DF7945"/>
    <w:rsid w:val="00E043B8"/>
    <w:rsid w:val="00E06EC9"/>
    <w:rsid w:val="00E079E6"/>
    <w:rsid w:val="00E12716"/>
    <w:rsid w:val="00E129A9"/>
    <w:rsid w:val="00E13CEF"/>
    <w:rsid w:val="00E2651A"/>
    <w:rsid w:val="00E26D79"/>
    <w:rsid w:val="00E27015"/>
    <w:rsid w:val="00E30952"/>
    <w:rsid w:val="00E30D4C"/>
    <w:rsid w:val="00E33AAD"/>
    <w:rsid w:val="00E37145"/>
    <w:rsid w:val="00E373DB"/>
    <w:rsid w:val="00E419EB"/>
    <w:rsid w:val="00E4685F"/>
    <w:rsid w:val="00E50F76"/>
    <w:rsid w:val="00E51383"/>
    <w:rsid w:val="00E54249"/>
    <w:rsid w:val="00E5532A"/>
    <w:rsid w:val="00E606AE"/>
    <w:rsid w:val="00E6212D"/>
    <w:rsid w:val="00E65D94"/>
    <w:rsid w:val="00E679F1"/>
    <w:rsid w:val="00E703D1"/>
    <w:rsid w:val="00E72191"/>
    <w:rsid w:val="00E72799"/>
    <w:rsid w:val="00E80983"/>
    <w:rsid w:val="00E8133C"/>
    <w:rsid w:val="00E833CC"/>
    <w:rsid w:val="00E86D75"/>
    <w:rsid w:val="00E90707"/>
    <w:rsid w:val="00E90A7E"/>
    <w:rsid w:val="00E91A69"/>
    <w:rsid w:val="00E929FB"/>
    <w:rsid w:val="00E9310A"/>
    <w:rsid w:val="00E93701"/>
    <w:rsid w:val="00E93DC1"/>
    <w:rsid w:val="00EB5845"/>
    <w:rsid w:val="00EB5897"/>
    <w:rsid w:val="00EC06A5"/>
    <w:rsid w:val="00EC3A0D"/>
    <w:rsid w:val="00EC45AF"/>
    <w:rsid w:val="00EC59B6"/>
    <w:rsid w:val="00EC693D"/>
    <w:rsid w:val="00ED0F52"/>
    <w:rsid w:val="00EE0E1C"/>
    <w:rsid w:val="00EE311F"/>
    <w:rsid w:val="00EE4F01"/>
    <w:rsid w:val="00EE5E86"/>
    <w:rsid w:val="00EE6A66"/>
    <w:rsid w:val="00EF3A73"/>
    <w:rsid w:val="00F072D5"/>
    <w:rsid w:val="00F075E6"/>
    <w:rsid w:val="00F076E3"/>
    <w:rsid w:val="00F07E66"/>
    <w:rsid w:val="00F103B1"/>
    <w:rsid w:val="00F11BAF"/>
    <w:rsid w:val="00F14400"/>
    <w:rsid w:val="00F15777"/>
    <w:rsid w:val="00F20A93"/>
    <w:rsid w:val="00F225A2"/>
    <w:rsid w:val="00F23FD4"/>
    <w:rsid w:val="00F24DF8"/>
    <w:rsid w:val="00F26050"/>
    <w:rsid w:val="00F2743E"/>
    <w:rsid w:val="00F2793E"/>
    <w:rsid w:val="00F4363D"/>
    <w:rsid w:val="00F43CAF"/>
    <w:rsid w:val="00F44D79"/>
    <w:rsid w:val="00F45369"/>
    <w:rsid w:val="00F45379"/>
    <w:rsid w:val="00F46F95"/>
    <w:rsid w:val="00F51946"/>
    <w:rsid w:val="00F519DE"/>
    <w:rsid w:val="00F57BFB"/>
    <w:rsid w:val="00F63C95"/>
    <w:rsid w:val="00F70740"/>
    <w:rsid w:val="00F71766"/>
    <w:rsid w:val="00F72F02"/>
    <w:rsid w:val="00F7379B"/>
    <w:rsid w:val="00F75E62"/>
    <w:rsid w:val="00F7757E"/>
    <w:rsid w:val="00F8288E"/>
    <w:rsid w:val="00F82E64"/>
    <w:rsid w:val="00F855EB"/>
    <w:rsid w:val="00F95EBE"/>
    <w:rsid w:val="00FA05A8"/>
    <w:rsid w:val="00FA1CC3"/>
    <w:rsid w:val="00FA3EB0"/>
    <w:rsid w:val="00FA672D"/>
    <w:rsid w:val="00FA73E9"/>
    <w:rsid w:val="00FB0FB4"/>
    <w:rsid w:val="00FB2A52"/>
    <w:rsid w:val="00FB500D"/>
    <w:rsid w:val="00FB51C8"/>
    <w:rsid w:val="00FB670D"/>
    <w:rsid w:val="00FC08C5"/>
    <w:rsid w:val="00FC37A5"/>
    <w:rsid w:val="00FD356B"/>
    <w:rsid w:val="00FD42AE"/>
    <w:rsid w:val="00FD4DE1"/>
    <w:rsid w:val="00FE0859"/>
    <w:rsid w:val="00FE3715"/>
    <w:rsid w:val="00FE6EEC"/>
    <w:rsid w:val="00FE7295"/>
    <w:rsid w:val="00FF1138"/>
    <w:rsid w:val="00FF244B"/>
    <w:rsid w:val="00FF57B1"/>
    <w:rsid w:val="00FF5CF1"/>
    <w:rsid w:val="013008FF"/>
    <w:rsid w:val="01703271"/>
    <w:rsid w:val="02230F3E"/>
    <w:rsid w:val="02B19AAB"/>
    <w:rsid w:val="038377E0"/>
    <w:rsid w:val="04B686E5"/>
    <w:rsid w:val="04D31527"/>
    <w:rsid w:val="068F2901"/>
    <w:rsid w:val="072880AB"/>
    <w:rsid w:val="07EB7C83"/>
    <w:rsid w:val="09342BEC"/>
    <w:rsid w:val="09A5E8AE"/>
    <w:rsid w:val="09CE4CFB"/>
    <w:rsid w:val="0A1C61BC"/>
    <w:rsid w:val="0A4750E5"/>
    <w:rsid w:val="0A4B1556"/>
    <w:rsid w:val="0A7D99C8"/>
    <w:rsid w:val="0C3E47C7"/>
    <w:rsid w:val="0C42B788"/>
    <w:rsid w:val="0C5E2789"/>
    <w:rsid w:val="0D6111BA"/>
    <w:rsid w:val="0D88CE08"/>
    <w:rsid w:val="0D98D1AB"/>
    <w:rsid w:val="0EC9ED30"/>
    <w:rsid w:val="0F468B5A"/>
    <w:rsid w:val="0F51804A"/>
    <w:rsid w:val="0F93F81B"/>
    <w:rsid w:val="106FD7A8"/>
    <w:rsid w:val="12980FEA"/>
    <w:rsid w:val="12B4502D"/>
    <w:rsid w:val="136D3049"/>
    <w:rsid w:val="14D09294"/>
    <w:rsid w:val="15112C42"/>
    <w:rsid w:val="1541185B"/>
    <w:rsid w:val="15646B11"/>
    <w:rsid w:val="17B5B141"/>
    <w:rsid w:val="184DC06E"/>
    <w:rsid w:val="186F5B25"/>
    <w:rsid w:val="18BD939A"/>
    <w:rsid w:val="18D80F92"/>
    <w:rsid w:val="199693FE"/>
    <w:rsid w:val="19FD4B9D"/>
    <w:rsid w:val="1A41303C"/>
    <w:rsid w:val="1AA460B7"/>
    <w:rsid w:val="1B081CD6"/>
    <w:rsid w:val="1BA6B175"/>
    <w:rsid w:val="1C2CA953"/>
    <w:rsid w:val="1C30EAE4"/>
    <w:rsid w:val="1C977F65"/>
    <w:rsid w:val="1CD2A906"/>
    <w:rsid w:val="1CE78746"/>
    <w:rsid w:val="1DAD5599"/>
    <w:rsid w:val="1DD8E321"/>
    <w:rsid w:val="1E19AB50"/>
    <w:rsid w:val="1E491EB5"/>
    <w:rsid w:val="1E715785"/>
    <w:rsid w:val="1F8A48B5"/>
    <w:rsid w:val="20774241"/>
    <w:rsid w:val="20EFCE30"/>
    <w:rsid w:val="212F9338"/>
    <w:rsid w:val="2179925E"/>
    <w:rsid w:val="21B269D2"/>
    <w:rsid w:val="22615D78"/>
    <w:rsid w:val="22CC3FA5"/>
    <w:rsid w:val="22D9A02F"/>
    <w:rsid w:val="23551D9D"/>
    <w:rsid w:val="238F28FD"/>
    <w:rsid w:val="23B9EEBB"/>
    <w:rsid w:val="244DCE3A"/>
    <w:rsid w:val="24A4C643"/>
    <w:rsid w:val="25A70D82"/>
    <w:rsid w:val="2740E7A4"/>
    <w:rsid w:val="275B013B"/>
    <w:rsid w:val="277FF598"/>
    <w:rsid w:val="282BED0F"/>
    <w:rsid w:val="2910523C"/>
    <w:rsid w:val="2985B630"/>
    <w:rsid w:val="29CD9AB6"/>
    <w:rsid w:val="29D2E024"/>
    <w:rsid w:val="29F295A7"/>
    <w:rsid w:val="2A1D1F60"/>
    <w:rsid w:val="2A5EAAE6"/>
    <w:rsid w:val="2A6C7183"/>
    <w:rsid w:val="2C1E9267"/>
    <w:rsid w:val="2C6BE7CD"/>
    <w:rsid w:val="2C9C5720"/>
    <w:rsid w:val="2CEB528F"/>
    <w:rsid w:val="2E6CBA2F"/>
    <w:rsid w:val="2E8DD6BB"/>
    <w:rsid w:val="2F026723"/>
    <w:rsid w:val="2F41135E"/>
    <w:rsid w:val="2FB06CD7"/>
    <w:rsid w:val="30A3A4E9"/>
    <w:rsid w:val="31740048"/>
    <w:rsid w:val="324B1C6F"/>
    <w:rsid w:val="32568843"/>
    <w:rsid w:val="32DEBB9A"/>
    <w:rsid w:val="33C0FC9C"/>
    <w:rsid w:val="3484E3C0"/>
    <w:rsid w:val="357E28A0"/>
    <w:rsid w:val="35D40025"/>
    <w:rsid w:val="36D92457"/>
    <w:rsid w:val="3741FFDD"/>
    <w:rsid w:val="376E783A"/>
    <w:rsid w:val="380C6A4C"/>
    <w:rsid w:val="38400CE0"/>
    <w:rsid w:val="38CD33EB"/>
    <w:rsid w:val="3931FFB0"/>
    <w:rsid w:val="39767013"/>
    <w:rsid w:val="3A65744F"/>
    <w:rsid w:val="3B9D8D80"/>
    <w:rsid w:val="3C16404F"/>
    <w:rsid w:val="3CDF3A87"/>
    <w:rsid w:val="3CE25348"/>
    <w:rsid w:val="3D06916E"/>
    <w:rsid w:val="3E37FDAA"/>
    <w:rsid w:val="3F3496AB"/>
    <w:rsid w:val="3FB5A2A0"/>
    <w:rsid w:val="40704886"/>
    <w:rsid w:val="40FC5D41"/>
    <w:rsid w:val="415A2E55"/>
    <w:rsid w:val="41D33B5C"/>
    <w:rsid w:val="425D6EDB"/>
    <w:rsid w:val="4273CBB0"/>
    <w:rsid w:val="42B258C7"/>
    <w:rsid w:val="42C357A6"/>
    <w:rsid w:val="436A634A"/>
    <w:rsid w:val="44CC97ED"/>
    <w:rsid w:val="45999807"/>
    <w:rsid w:val="46190727"/>
    <w:rsid w:val="46D5B046"/>
    <w:rsid w:val="474CA2C6"/>
    <w:rsid w:val="47953B3B"/>
    <w:rsid w:val="47C10851"/>
    <w:rsid w:val="47E7F26A"/>
    <w:rsid w:val="482C5136"/>
    <w:rsid w:val="485C3D3C"/>
    <w:rsid w:val="48AA7B79"/>
    <w:rsid w:val="48CA36BB"/>
    <w:rsid w:val="4983EABF"/>
    <w:rsid w:val="49B34392"/>
    <w:rsid w:val="49F08206"/>
    <w:rsid w:val="4BB0C07C"/>
    <w:rsid w:val="4C27C5E9"/>
    <w:rsid w:val="4CCF2F41"/>
    <w:rsid w:val="4CF5EFB7"/>
    <w:rsid w:val="4D3CE233"/>
    <w:rsid w:val="4D4C05D5"/>
    <w:rsid w:val="4DCB40BC"/>
    <w:rsid w:val="4DD758DE"/>
    <w:rsid w:val="4E57F544"/>
    <w:rsid w:val="4EC95310"/>
    <w:rsid w:val="4F67111D"/>
    <w:rsid w:val="5084842E"/>
    <w:rsid w:val="50C875A2"/>
    <w:rsid w:val="512D78C2"/>
    <w:rsid w:val="51A64D53"/>
    <w:rsid w:val="5207A2A1"/>
    <w:rsid w:val="527A4C99"/>
    <w:rsid w:val="52AAC08D"/>
    <w:rsid w:val="5303646D"/>
    <w:rsid w:val="5376E1A7"/>
    <w:rsid w:val="5388A595"/>
    <w:rsid w:val="53EFB5EE"/>
    <w:rsid w:val="5552BD10"/>
    <w:rsid w:val="5561E68A"/>
    <w:rsid w:val="556B54EF"/>
    <w:rsid w:val="5606FB8D"/>
    <w:rsid w:val="5673C2CF"/>
    <w:rsid w:val="56E537BB"/>
    <w:rsid w:val="572BFBB1"/>
    <w:rsid w:val="5734AF04"/>
    <w:rsid w:val="5743E33D"/>
    <w:rsid w:val="578B97DC"/>
    <w:rsid w:val="57948729"/>
    <w:rsid w:val="57A590C2"/>
    <w:rsid w:val="58B87A78"/>
    <w:rsid w:val="58FF5D77"/>
    <w:rsid w:val="58FFC188"/>
    <w:rsid w:val="5AA31065"/>
    <w:rsid w:val="5B8996DA"/>
    <w:rsid w:val="5C28FCAC"/>
    <w:rsid w:val="5C449D12"/>
    <w:rsid w:val="5C9A8F59"/>
    <w:rsid w:val="5CE4782F"/>
    <w:rsid w:val="5CF44B73"/>
    <w:rsid w:val="5D1E4E90"/>
    <w:rsid w:val="5F211129"/>
    <w:rsid w:val="5F3ED41B"/>
    <w:rsid w:val="60013133"/>
    <w:rsid w:val="60254D53"/>
    <w:rsid w:val="603E4A25"/>
    <w:rsid w:val="6061C08B"/>
    <w:rsid w:val="610F8F62"/>
    <w:rsid w:val="6257BC60"/>
    <w:rsid w:val="62744BD2"/>
    <w:rsid w:val="628AD10E"/>
    <w:rsid w:val="629C0540"/>
    <w:rsid w:val="62C39090"/>
    <w:rsid w:val="62E601E8"/>
    <w:rsid w:val="6380B6EF"/>
    <w:rsid w:val="64AA6E3D"/>
    <w:rsid w:val="64BCFCE8"/>
    <w:rsid w:val="6563362E"/>
    <w:rsid w:val="6587B9CC"/>
    <w:rsid w:val="65EF54AE"/>
    <w:rsid w:val="669A8663"/>
    <w:rsid w:val="66B1BD30"/>
    <w:rsid w:val="66C49510"/>
    <w:rsid w:val="671F7409"/>
    <w:rsid w:val="67640C08"/>
    <w:rsid w:val="67CBCB7C"/>
    <w:rsid w:val="67D78BFD"/>
    <w:rsid w:val="6851E299"/>
    <w:rsid w:val="692097A4"/>
    <w:rsid w:val="6923EE8C"/>
    <w:rsid w:val="69592D45"/>
    <w:rsid w:val="69BA1579"/>
    <w:rsid w:val="6A1F8AB9"/>
    <w:rsid w:val="6B7B210A"/>
    <w:rsid w:val="6B926494"/>
    <w:rsid w:val="6C255501"/>
    <w:rsid w:val="6D2396DC"/>
    <w:rsid w:val="6E7E989B"/>
    <w:rsid w:val="6F2D32DD"/>
    <w:rsid w:val="6F3EC5B9"/>
    <w:rsid w:val="6FEED843"/>
    <w:rsid w:val="70479EFB"/>
    <w:rsid w:val="70A0512E"/>
    <w:rsid w:val="70C929D9"/>
    <w:rsid w:val="714182ED"/>
    <w:rsid w:val="714A03BD"/>
    <w:rsid w:val="714C3F81"/>
    <w:rsid w:val="715BEC0A"/>
    <w:rsid w:val="71933A49"/>
    <w:rsid w:val="71B51402"/>
    <w:rsid w:val="72176B8C"/>
    <w:rsid w:val="7248F092"/>
    <w:rsid w:val="72DEF56C"/>
    <w:rsid w:val="735A3688"/>
    <w:rsid w:val="7398AD71"/>
    <w:rsid w:val="747D4B94"/>
    <w:rsid w:val="74FC6EBD"/>
    <w:rsid w:val="754D55F0"/>
    <w:rsid w:val="75FC7F05"/>
    <w:rsid w:val="7785AD4A"/>
    <w:rsid w:val="77F9452A"/>
    <w:rsid w:val="7938E7AE"/>
    <w:rsid w:val="7945281C"/>
    <w:rsid w:val="79D78EF6"/>
    <w:rsid w:val="7A4748D5"/>
    <w:rsid w:val="7A4C0FA1"/>
    <w:rsid w:val="7B37C111"/>
    <w:rsid w:val="7BCEAE02"/>
    <w:rsid w:val="7BE493DC"/>
    <w:rsid w:val="7C3D90A7"/>
    <w:rsid w:val="7D61FB48"/>
    <w:rsid w:val="7E181C9E"/>
    <w:rsid w:val="7E19AF1E"/>
    <w:rsid w:val="7FB048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4F5B4"/>
  <w15:chartTrackingRefBased/>
  <w15:docId w15:val="{339441A6-3FFC-4B55-985F-AFA81F728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240" w:after="120" w:line="300"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C87"/>
  </w:style>
  <w:style w:type="paragraph" w:styleId="Heading1">
    <w:name w:val="heading 1"/>
    <w:basedOn w:val="Normal"/>
    <w:link w:val="Heading1Char"/>
    <w:uiPriority w:val="1"/>
    <w:qFormat/>
    <w:rsid w:val="00216DCB"/>
    <w:pPr>
      <w:widowControl w:val="0"/>
      <w:autoSpaceDE w:val="0"/>
      <w:autoSpaceDN w:val="0"/>
      <w:spacing w:before="360" w:line="276" w:lineRule="auto"/>
      <w:outlineLvl w:val="0"/>
    </w:pPr>
    <w:rPr>
      <w:rFonts w:eastAsia="Arial"/>
      <w:b/>
      <w:bCs/>
      <w:color w:val="3F9C35" w:themeColor="text2"/>
      <w:sz w:val="36"/>
      <w:szCs w:val="36"/>
    </w:rPr>
  </w:style>
  <w:style w:type="paragraph" w:styleId="Heading2">
    <w:name w:val="heading 2"/>
    <w:basedOn w:val="Normal"/>
    <w:next w:val="Normal"/>
    <w:link w:val="Heading2Char"/>
    <w:uiPriority w:val="9"/>
    <w:unhideWhenUsed/>
    <w:qFormat/>
    <w:rsid w:val="00000033"/>
    <w:pPr>
      <w:spacing w:before="280"/>
      <w:outlineLvl w:val="1"/>
    </w:pPr>
    <w:rPr>
      <w:b/>
      <w:bCs/>
      <w:color w:val="0094E0" w:themeColor="accent1"/>
      <w:sz w:val="32"/>
      <w:szCs w:val="32"/>
    </w:rPr>
  </w:style>
  <w:style w:type="paragraph" w:styleId="Heading3">
    <w:name w:val="heading 3"/>
    <w:basedOn w:val="Normal"/>
    <w:next w:val="Normal"/>
    <w:link w:val="Heading3Char"/>
    <w:uiPriority w:val="9"/>
    <w:unhideWhenUsed/>
    <w:qFormat/>
    <w:rsid w:val="00000033"/>
    <w:pPr>
      <w:outlineLvl w:val="2"/>
    </w:pPr>
    <w:rPr>
      <w:b/>
      <w:bCs/>
      <w:color w:val="C3009E" w:themeColor="accent6"/>
      <w:sz w:val="28"/>
      <w:szCs w:val="28"/>
    </w:rPr>
  </w:style>
  <w:style w:type="paragraph" w:styleId="Heading4">
    <w:name w:val="heading 4"/>
    <w:basedOn w:val="Normal"/>
    <w:next w:val="Normal"/>
    <w:link w:val="Heading4Char"/>
    <w:uiPriority w:val="9"/>
    <w:unhideWhenUsed/>
    <w:qFormat/>
    <w:rsid w:val="00216DCB"/>
    <w:pPr>
      <w:outlineLvl w:val="3"/>
    </w:pPr>
    <w:rPr>
      <w:b/>
      <w:bCs/>
    </w:rPr>
  </w:style>
  <w:style w:type="paragraph" w:styleId="Heading5">
    <w:name w:val="heading 5"/>
    <w:basedOn w:val="Normal"/>
    <w:next w:val="Normal"/>
    <w:link w:val="Heading5Char"/>
    <w:uiPriority w:val="9"/>
    <w:unhideWhenUsed/>
    <w:rsid w:val="00F11BAF"/>
    <w:pPr>
      <w:keepNext/>
      <w:keepLines/>
      <w:spacing w:before="40" w:after="0"/>
      <w:outlineLvl w:val="4"/>
    </w:pPr>
    <w:rPr>
      <w:rFonts w:asciiTheme="majorHAnsi" w:eastAsiaTheme="majorEastAsia" w:hAnsiTheme="majorHAnsi" w:cstheme="majorBidi"/>
      <w:color w:val="006EA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388"/>
    <w:pPr>
      <w:spacing w:before="60" w:after="60"/>
      <w:ind w:left="720"/>
      <w:contextualSpacing/>
    </w:pPr>
  </w:style>
  <w:style w:type="character" w:styleId="Hyperlink">
    <w:name w:val="Hyperlink"/>
    <w:basedOn w:val="DefaultParagraphFont"/>
    <w:uiPriority w:val="99"/>
    <w:unhideWhenUsed/>
    <w:qFormat/>
    <w:rsid w:val="00217803"/>
    <w:rPr>
      <w:rFonts w:asciiTheme="minorHAnsi" w:hAnsiTheme="minorHAnsi"/>
      <w:color w:val="0073CF" w:themeColor="hyperlink"/>
      <w:sz w:val="24"/>
      <w:u w:val="single"/>
    </w:rPr>
  </w:style>
  <w:style w:type="character" w:styleId="CommentReference">
    <w:name w:val="annotation reference"/>
    <w:basedOn w:val="DefaultParagraphFont"/>
    <w:uiPriority w:val="99"/>
    <w:unhideWhenUsed/>
    <w:rsid w:val="006668E8"/>
    <w:rPr>
      <w:sz w:val="16"/>
      <w:szCs w:val="16"/>
    </w:rPr>
  </w:style>
  <w:style w:type="paragraph" w:styleId="CommentText">
    <w:name w:val="annotation text"/>
    <w:basedOn w:val="Normal"/>
    <w:link w:val="CommentTextChar"/>
    <w:uiPriority w:val="99"/>
    <w:unhideWhenUsed/>
    <w:rsid w:val="006668E8"/>
    <w:rPr>
      <w:sz w:val="20"/>
      <w:szCs w:val="20"/>
    </w:rPr>
  </w:style>
  <w:style w:type="character" w:customStyle="1" w:styleId="CommentTextChar">
    <w:name w:val="Comment Text Char"/>
    <w:basedOn w:val="DefaultParagraphFont"/>
    <w:link w:val="CommentText"/>
    <w:uiPriority w:val="99"/>
    <w:rsid w:val="006668E8"/>
    <w:rPr>
      <w:sz w:val="20"/>
      <w:szCs w:val="20"/>
    </w:rPr>
  </w:style>
  <w:style w:type="paragraph" w:styleId="CommentSubject">
    <w:name w:val="annotation subject"/>
    <w:basedOn w:val="CommentText"/>
    <w:next w:val="CommentText"/>
    <w:link w:val="CommentSubjectChar"/>
    <w:uiPriority w:val="99"/>
    <w:semiHidden/>
    <w:unhideWhenUsed/>
    <w:rsid w:val="006668E8"/>
    <w:rPr>
      <w:b/>
      <w:bCs/>
    </w:rPr>
  </w:style>
  <w:style w:type="character" w:customStyle="1" w:styleId="CommentSubjectChar">
    <w:name w:val="Comment Subject Char"/>
    <w:basedOn w:val="CommentTextChar"/>
    <w:link w:val="CommentSubject"/>
    <w:uiPriority w:val="99"/>
    <w:semiHidden/>
    <w:rsid w:val="006668E8"/>
    <w:rPr>
      <w:b/>
      <w:bCs/>
      <w:sz w:val="20"/>
      <w:szCs w:val="20"/>
    </w:rPr>
  </w:style>
  <w:style w:type="paragraph" w:styleId="BalloonText">
    <w:name w:val="Balloon Text"/>
    <w:basedOn w:val="Normal"/>
    <w:link w:val="BalloonTextChar"/>
    <w:uiPriority w:val="99"/>
    <w:semiHidden/>
    <w:unhideWhenUsed/>
    <w:rsid w:val="006668E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8E8"/>
    <w:rPr>
      <w:rFonts w:ascii="Segoe UI" w:hAnsi="Segoe UI" w:cs="Segoe UI"/>
      <w:sz w:val="18"/>
      <w:szCs w:val="18"/>
    </w:rPr>
  </w:style>
  <w:style w:type="paragraph" w:styleId="Header">
    <w:name w:val="header"/>
    <w:basedOn w:val="Normal"/>
    <w:link w:val="HeaderChar"/>
    <w:uiPriority w:val="99"/>
    <w:unhideWhenUsed/>
    <w:rsid w:val="00330754"/>
    <w:pPr>
      <w:tabs>
        <w:tab w:val="center" w:pos="4680"/>
        <w:tab w:val="right" w:pos="9360"/>
      </w:tabs>
      <w:spacing w:after="0"/>
      <w:jc w:val="right"/>
    </w:pPr>
    <w:rPr>
      <w:sz w:val="20"/>
      <w:szCs w:val="20"/>
    </w:rPr>
  </w:style>
  <w:style w:type="character" w:customStyle="1" w:styleId="HeaderChar">
    <w:name w:val="Header Char"/>
    <w:basedOn w:val="DefaultParagraphFont"/>
    <w:link w:val="Header"/>
    <w:uiPriority w:val="99"/>
    <w:rsid w:val="00330754"/>
    <w:rPr>
      <w:rFonts w:cstheme="minorHAnsi"/>
      <w:sz w:val="20"/>
      <w:szCs w:val="20"/>
    </w:rPr>
  </w:style>
  <w:style w:type="paragraph" w:styleId="Footer">
    <w:name w:val="footer"/>
    <w:basedOn w:val="Normal"/>
    <w:link w:val="FooterChar"/>
    <w:uiPriority w:val="99"/>
    <w:unhideWhenUsed/>
    <w:rsid w:val="007015BE"/>
    <w:pPr>
      <w:tabs>
        <w:tab w:val="center" w:pos="4680"/>
        <w:tab w:val="right" w:pos="9360"/>
      </w:tabs>
      <w:spacing w:after="0"/>
    </w:pPr>
  </w:style>
  <w:style w:type="character" w:customStyle="1" w:styleId="FooterChar">
    <w:name w:val="Footer Char"/>
    <w:basedOn w:val="DefaultParagraphFont"/>
    <w:link w:val="Footer"/>
    <w:uiPriority w:val="99"/>
    <w:rsid w:val="007015BE"/>
  </w:style>
  <w:style w:type="character" w:styleId="FollowedHyperlink">
    <w:name w:val="FollowedHyperlink"/>
    <w:basedOn w:val="DefaultParagraphFont"/>
    <w:uiPriority w:val="99"/>
    <w:semiHidden/>
    <w:unhideWhenUsed/>
    <w:rsid w:val="00B341D2"/>
    <w:rPr>
      <w:color w:val="C3009E" w:themeColor="followedHyperlink"/>
      <w:u w:val="single"/>
    </w:rPr>
  </w:style>
  <w:style w:type="table" w:styleId="TableGrid">
    <w:name w:val="Table Grid"/>
    <w:basedOn w:val="TableNormal"/>
    <w:uiPriority w:val="39"/>
    <w:rsid w:val="00CE42B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36422"/>
    <w:pPr>
      <w:spacing w:after="200"/>
    </w:pPr>
    <w:rPr>
      <w:i/>
      <w:iCs/>
      <w:color w:val="3F9C35" w:themeColor="text2"/>
      <w:sz w:val="18"/>
      <w:szCs w:val="18"/>
    </w:rPr>
  </w:style>
  <w:style w:type="paragraph" w:styleId="Title">
    <w:name w:val="Title"/>
    <w:basedOn w:val="Normal"/>
    <w:link w:val="TitleChar"/>
    <w:uiPriority w:val="1"/>
    <w:qFormat/>
    <w:rsid w:val="00B15388"/>
    <w:pPr>
      <w:widowControl w:val="0"/>
      <w:autoSpaceDE w:val="0"/>
      <w:autoSpaceDN w:val="0"/>
      <w:spacing w:before="560" w:line="276" w:lineRule="auto"/>
    </w:pPr>
    <w:rPr>
      <w:rFonts w:ascii="Calibri" w:eastAsia="Calibri" w:hAnsi="Calibri" w:cs="Calibri"/>
      <w:b/>
      <w:bCs/>
      <w:spacing w:val="-3"/>
      <w:w w:val="110"/>
      <w:sz w:val="56"/>
      <w:szCs w:val="56"/>
    </w:rPr>
  </w:style>
  <w:style w:type="character" w:customStyle="1" w:styleId="TitleChar">
    <w:name w:val="Title Char"/>
    <w:basedOn w:val="DefaultParagraphFont"/>
    <w:link w:val="Title"/>
    <w:uiPriority w:val="1"/>
    <w:rsid w:val="00B15388"/>
    <w:rPr>
      <w:rFonts w:ascii="Calibri" w:eastAsia="Calibri" w:hAnsi="Calibri" w:cs="Calibri"/>
      <w:b/>
      <w:bCs/>
      <w:spacing w:val="-3"/>
      <w:w w:val="110"/>
      <w:sz w:val="56"/>
      <w:szCs w:val="56"/>
    </w:rPr>
  </w:style>
  <w:style w:type="character" w:customStyle="1" w:styleId="Heading1Char">
    <w:name w:val="Heading 1 Char"/>
    <w:basedOn w:val="DefaultParagraphFont"/>
    <w:link w:val="Heading1"/>
    <w:uiPriority w:val="1"/>
    <w:rsid w:val="00216DCB"/>
    <w:rPr>
      <w:rFonts w:eastAsia="Arial"/>
      <w:b/>
      <w:bCs/>
      <w:color w:val="3F9C35" w:themeColor="text2"/>
      <w:sz w:val="36"/>
      <w:szCs w:val="36"/>
    </w:rPr>
  </w:style>
  <w:style w:type="character" w:customStyle="1" w:styleId="Heading2Char">
    <w:name w:val="Heading 2 Char"/>
    <w:basedOn w:val="DefaultParagraphFont"/>
    <w:link w:val="Heading2"/>
    <w:uiPriority w:val="9"/>
    <w:rsid w:val="00000033"/>
    <w:rPr>
      <w:b/>
      <w:bCs/>
      <w:color w:val="0094E0" w:themeColor="accent1"/>
      <w:sz w:val="32"/>
      <w:szCs w:val="32"/>
    </w:rPr>
  </w:style>
  <w:style w:type="character" w:customStyle="1" w:styleId="Heading3Char">
    <w:name w:val="Heading 3 Char"/>
    <w:basedOn w:val="DefaultParagraphFont"/>
    <w:link w:val="Heading3"/>
    <w:uiPriority w:val="9"/>
    <w:rsid w:val="00000033"/>
    <w:rPr>
      <w:b/>
      <w:bCs/>
      <w:color w:val="C3009E" w:themeColor="accent6"/>
      <w:sz w:val="28"/>
      <w:szCs w:val="28"/>
    </w:rPr>
  </w:style>
  <w:style w:type="character" w:styleId="UnresolvedMention">
    <w:name w:val="Unresolved Mention"/>
    <w:basedOn w:val="DefaultParagraphFont"/>
    <w:uiPriority w:val="99"/>
    <w:semiHidden/>
    <w:unhideWhenUsed/>
    <w:rsid w:val="00FB51C8"/>
    <w:rPr>
      <w:color w:val="605E5C"/>
      <w:shd w:val="clear" w:color="auto" w:fill="E1DFDD"/>
    </w:rPr>
  </w:style>
  <w:style w:type="table" w:styleId="GridTable1Light">
    <w:name w:val="Grid Table 1 Light"/>
    <w:basedOn w:val="TableNormal"/>
    <w:uiPriority w:val="46"/>
    <w:rsid w:val="00607990"/>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706E55"/>
    <w:pPr>
      <w:spacing w:after="0"/>
    </w:pPr>
    <w:rPr>
      <w:rFonts w:cstheme="minorHAnsi"/>
    </w:rPr>
  </w:style>
  <w:style w:type="character" w:styleId="PlaceholderText">
    <w:name w:val="Placeholder Text"/>
    <w:basedOn w:val="DefaultParagraphFont"/>
    <w:uiPriority w:val="99"/>
    <w:semiHidden/>
    <w:rsid w:val="00FE6EEC"/>
    <w:rPr>
      <w:color w:val="808080"/>
    </w:rPr>
  </w:style>
  <w:style w:type="paragraph" w:styleId="Subtitle">
    <w:name w:val="Subtitle"/>
    <w:basedOn w:val="Normal"/>
    <w:next w:val="Normal"/>
    <w:link w:val="SubtitleChar"/>
    <w:uiPriority w:val="11"/>
    <w:qFormat/>
    <w:rsid w:val="00A40795"/>
    <w:pPr>
      <w:numPr>
        <w:ilvl w:val="1"/>
      </w:numPr>
      <w:spacing w:after="160"/>
    </w:pPr>
    <w:rPr>
      <w:rFonts w:eastAsiaTheme="minorEastAsia"/>
      <w:b/>
      <w:spacing w:val="10"/>
      <w:sz w:val="28"/>
    </w:rPr>
  </w:style>
  <w:style w:type="character" w:customStyle="1" w:styleId="SubtitleChar">
    <w:name w:val="Subtitle Char"/>
    <w:basedOn w:val="DefaultParagraphFont"/>
    <w:link w:val="Subtitle"/>
    <w:uiPriority w:val="11"/>
    <w:rsid w:val="00A40795"/>
    <w:rPr>
      <w:rFonts w:eastAsiaTheme="minorEastAsia"/>
      <w:b/>
      <w:spacing w:val="10"/>
      <w:sz w:val="28"/>
    </w:rPr>
  </w:style>
  <w:style w:type="character" w:customStyle="1" w:styleId="Heading4Char">
    <w:name w:val="Heading 4 Char"/>
    <w:basedOn w:val="DefaultParagraphFont"/>
    <w:link w:val="Heading4"/>
    <w:uiPriority w:val="9"/>
    <w:rsid w:val="00216DCB"/>
    <w:rPr>
      <w:b/>
      <w:bCs/>
    </w:rPr>
  </w:style>
  <w:style w:type="character" w:customStyle="1" w:styleId="Heading5Char">
    <w:name w:val="Heading 5 Char"/>
    <w:basedOn w:val="DefaultParagraphFont"/>
    <w:link w:val="Heading5"/>
    <w:uiPriority w:val="9"/>
    <w:rsid w:val="00F11BAF"/>
    <w:rPr>
      <w:rFonts w:asciiTheme="majorHAnsi" w:eastAsiaTheme="majorEastAsia" w:hAnsiTheme="majorHAnsi" w:cstheme="majorBidi"/>
      <w:color w:val="006EA7" w:themeColor="accent1" w:themeShade="BF"/>
    </w:rPr>
  </w:style>
  <w:style w:type="paragraph" w:styleId="EndnoteText">
    <w:name w:val="endnote text"/>
    <w:basedOn w:val="Normal"/>
    <w:link w:val="EndnoteTextChar"/>
    <w:uiPriority w:val="99"/>
    <w:unhideWhenUsed/>
    <w:rsid w:val="00AB1685"/>
    <w:rPr>
      <w:sz w:val="20"/>
      <w:szCs w:val="20"/>
      <w:lang w:val="en-CA"/>
    </w:rPr>
  </w:style>
  <w:style w:type="character" w:customStyle="1" w:styleId="EndnoteTextChar">
    <w:name w:val="Endnote Text Char"/>
    <w:basedOn w:val="DefaultParagraphFont"/>
    <w:link w:val="EndnoteText"/>
    <w:uiPriority w:val="99"/>
    <w:rsid w:val="00AB1685"/>
    <w:rPr>
      <w:sz w:val="20"/>
      <w:szCs w:val="20"/>
      <w:lang w:val="en-CA"/>
    </w:rPr>
  </w:style>
  <w:style w:type="character" w:styleId="EndnoteReference">
    <w:name w:val="endnote reference"/>
    <w:basedOn w:val="DefaultParagraphFont"/>
    <w:uiPriority w:val="99"/>
    <w:unhideWhenUsed/>
    <w:rsid w:val="00AB1685"/>
    <w:rPr>
      <w:vertAlign w:val="superscript"/>
    </w:rPr>
  </w:style>
  <w:style w:type="character" w:styleId="Emphasis">
    <w:name w:val="Emphasis"/>
    <w:basedOn w:val="DefaultParagraphFont"/>
    <w:uiPriority w:val="20"/>
    <w:qFormat/>
    <w:rsid w:val="00AB1685"/>
    <w:rPr>
      <w:i/>
      <w:iCs/>
    </w:rPr>
  </w:style>
  <w:style w:type="paragraph" w:styleId="TOC1">
    <w:name w:val="toc 1"/>
    <w:basedOn w:val="Normal"/>
    <w:next w:val="Normal"/>
    <w:autoRedefine/>
    <w:uiPriority w:val="39"/>
    <w:unhideWhenUsed/>
    <w:rsid w:val="00472290"/>
    <w:pPr>
      <w:tabs>
        <w:tab w:val="right" w:leader="dot" w:pos="9350"/>
      </w:tabs>
      <w:spacing w:before="0" w:after="0" w:line="264" w:lineRule="auto"/>
      <w:ind w:left="142" w:hanging="142"/>
    </w:pPr>
    <w:rPr>
      <w:b/>
      <w:bCs/>
      <w:noProof/>
      <w:lang w:val="en-CA"/>
    </w:rPr>
  </w:style>
  <w:style w:type="paragraph" w:styleId="Index1">
    <w:name w:val="index 1"/>
    <w:basedOn w:val="Normal"/>
    <w:next w:val="Normal"/>
    <w:link w:val="Index1Char"/>
    <w:autoRedefine/>
    <w:uiPriority w:val="99"/>
    <w:unhideWhenUsed/>
    <w:qFormat/>
    <w:rsid w:val="00046707"/>
    <w:pPr>
      <w:spacing w:before="0" w:after="0" w:line="240" w:lineRule="auto"/>
      <w:ind w:left="240" w:hanging="240"/>
    </w:pPr>
    <w:rPr>
      <w:b/>
    </w:rPr>
  </w:style>
  <w:style w:type="paragraph" w:styleId="Bibliography">
    <w:name w:val="Bibliography"/>
    <w:basedOn w:val="Normal"/>
    <w:next w:val="Normal"/>
    <w:uiPriority w:val="37"/>
    <w:unhideWhenUsed/>
    <w:rsid w:val="00494C87"/>
  </w:style>
  <w:style w:type="character" w:customStyle="1" w:styleId="Index1Char">
    <w:name w:val="Index 1 Char"/>
    <w:basedOn w:val="DefaultParagraphFont"/>
    <w:link w:val="Index1"/>
    <w:uiPriority w:val="99"/>
    <w:rsid w:val="00494C87"/>
    <w:rPr>
      <w:b/>
    </w:rPr>
  </w:style>
  <w:style w:type="paragraph" w:styleId="TOC2">
    <w:name w:val="toc 2"/>
    <w:basedOn w:val="Normal"/>
    <w:next w:val="Normal"/>
    <w:autoRedefine/>
    <w:uiPriority w:val="39"/>
    <w:unhideWhenUsed/>
    <w:rsid w:val="005F1EDE"/>
    <w:pPr>
      <w:tabs>
        <w:tab w:val="right" w:leader="dot" w:pos="9350"/>
      </w:tabs>
      <w:spacing w:before="0" w:after="0" w:line="240" w:lineRule="auto"/>
      <w:ind w:left="426" w:hanging="186"/>
    </w:pPr>
  </w:style>
  <w:style w:type="character" w:customStyle="1" w:styleId="normaltextrun">
    <w:name w:val="normaltextrun"/>
    <w:basedOn w:val="DefaultParagraphFont"/>
    <w:rsid w:val="003E7380"/>
  </w:style>
  <w:style w:type="character" w:customStyle="1" w:styleId="eop">
    <w:name w:val="eop"/>
    <w:basedOn w:val="DefaultParagraphFont"/>
    <w:rsid w:val="003E7380"/>
  </w:style>
  <w:style w:type="character" w:styleId="Mention">
    <w:name w:val="Mention"/>
    <w:basedOn w:val="DefaultParagraphFont"/>
    <w:uiPriority w:val="99"/>
    <w:unhideWhenUsed/>
    <w:rsid w:val="003E7380"/>
    <w:rPr>
      <w:color w:val="2B579A"/>
      <w:shd w:val="clear" w:color="auto" w:fill="E6E6E6"/>
    </w:rPr>
  </w:style>
  <w:style w:type="paragraph" w:customStyle="1" w:styleId="paragraph">
    <w:name w:val="paragraph"/>
    <w:basedOn w:val="Normal"/>
    <w:rsid w:val="003E7380"/>
    <w:pPr>
      <w:spacing w:before="100" w:beforeAutospacing="1" w:after="100" w:afterAutospacing="1" w:line="240" w:lineRule="auto"/>
    </w:pPr>
    <w:rPr>
      <w:rFonts w:ascii="Times New Roman" w:eastAsia="Times New Roman" w:hAnsi="Times New Roman" w:cs="Times New Roman"/>
      <w:kern w:val="2"/>
      <w:lang w:eastAsia="en-CA"/>
      <w14:ligatures w14:val="standardContextual"/>
    </w:rPr>
  </w:style>
  <w:style w:type="character" w:styleId="FootnoteReference">
    <w:name w:val="footnote reference"/>
    <w:basedOn w:val="DefaultParagraphFont"/>
    <w:uiPriority w:val="99"/>
    <w:semiHidden/>
    <w:unhideWhenUsed/>
    <w:rsid w:val="003E7380"/>
    <w:rPr>
      <w:vertAlign w:val="superscript"/>
    </w:rPr>
  </w:style>
  <w:style w:type="character" w:customStyle="1" w:styleId="FootnoteTextChar">
    <w:name w:val="Footnote Text Char"/>
    <w:basedOn w:val="DefaultParagraphFont"/>
    <w:link w:val="FootnoteText"/>
    <w:uiPriority w:val="99"/>
    <w:semiHidden/>
    <w:rsid w:val="003E7380"/>
    <w:rPr>
      <w:sz w:val="20"/>
      <w:szCs w:val="20"/>
    </w:rPr>
  </w:style>
  <w:style w:type="paragraph" w:styleId="FootnoteText">
    <w:name w:val="footnote text"/>
    <w:basedOn w:val="Normal"/>
    <w:link w:val="FootnoteTextChar"/>
    <w:uiPriority w:val="99"/>
    <w:semiHidden/>
    <w:unhideWhenUsed/>
    <w:rsid w:val="003E7380"/>
    <w:pPr>
      <w:spacing w:after="0" w:line="240" w:lineRule="auto"/>
    </w:pPr>
    <w:rPr>
      <w:sz w:val="20"/>
      <w:szCs w:val="20"/>
    </w:rPr>
  </w:style>
  <w:style w:type="character" w:customStyle="1" w:styleId="FootnoteTextChar1">
    <w:name w:val="Footnote Text Char1"/>
    <w:basedOn w:val="DefaultParagraphFont"/>
    <w:uiPriority w:val="99"/>
    <w:semiHidden/>
    <w:rsid w:val="003E7380"/>
    <w:rPr>
      <w:sz w:val="20"/>
      <w:szCs w:val="20"/>
    </w:rPr>
  </w:style>
  <w:style w:type="character" w:styleId="Strong">
    <w:name w:val="Strong"/>
    <w:basedOn w:val="DefaultParagraphFont"/>
    <w:uiPriority w:val="22"/>
    <w:qFormat/>
    <w:rsid w:val="003E7380"/>
    <w:rPr>
      <w:b/>
      <w:bCs/>
    </w:rPr>
  </w:style>
  <w:style w:type="character" w:customStyle="1" w:styleId="superscript">
    <w:name w:val="superscript"/>
    <w:basedOn w:val="DefaultParagraphFont"/>
    <w:rsid w:val="003E7380"/>
  </w:style>
  <w:style w:type="paragraph" w:styleId="NormalWeb">
    <w:name w:val="Normal (Web)"/>
    <w:basedOn w:val="Normal"/>
    <w:uiPriority w:val="99"/>
    <w:semiHidden/>
    <w:unhideWhenUsed/>
    <w:rsid w:val="003E7380"/>
    <w:rPr>
      <w:rFonts w:ascii="Times New Roman" w:hAnsi="Times New Roman" w:cs="Times New Roman"/>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51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ihr-irsc.gc.ca/f/54487.html" TargetMode="External"/><Relationship Id="rId21" Type="http://schemas.openxmlformats.org/officeDocument/2006/relationships/hyperlink" Target="https://cihr-irsc.gc.ca/f/54487.html" TargetMode="External"/><Relationship Id="rId42" Type="http://schemas.openxmlformats.org/officeDocument/2006/relationships/hyperlink" Target="https://cihr-irsc.gc.ca/f/54487.html" TargetMode="External"/><Relationship Id="rId47" Type="http://schemas.openxmlformats.org/officeDocument/2006/relationships/hyperlink" Target="https://cihr-irsc.gc.ca/f/54487.html" TargetMode="External"/><Relationship Id="rId63" Type="http://schemas.openxmlformats.org/officeDocument/2006/relationships/hyperlink" Target="https://cihr-irsc.gc.ca/f/54487.html" TargetMode="External"/><Relationship Id="rId68" Type="http://schemas.openxmlformats.org/officeDocument/2006/relationships/hyperlink" Target="https://cihr-irsc.gc.ca/f/54487.html" TargetMode="External"/><Relationship Id="rId84" Type="http://schemas.openxmlformats.org/officeDocument/2006/relationships/header" Target="header2.xml"/><Relationship Id="rId16" Type="http://schemas.openxmlformats.org/officeDocument/2006/relationships/hyperlink" Target="https://cihr-irsc.gc.ca/f/54487.html" TargetMode="External"/><Relationship Id="rId11" Type="http://schemas.openxmlformats.org/officeDocument/2006/relationships/footnotes" Target="footnotes.xml"/><Relationship Id="rId32" Type="http://schemas.openxmlformats.org/officeDocument/2006/relationships/hyperlink" Target="https://cihr-irsc.gc.ca/f/54487.html" TargetMode="External"/><Relationship Id="rId37" Type="http://schemas.openxmlformats.org/officeDocument/2006/relationships/hyperlink" Target="https://cihr-irsc.gc.ca/f/54487.html" TargetMode="External"/><Relationship Id="rId53" Type="http://schemas.openxmlformats.org/officeDocument/2006/relationships/hyperlink" Target="https://cihr-irsc.gc.ca/f/54487.html" TargetMode="External"/><Relationship Id="rId58" Type="http://schemas.openxmlformats.org/officeDocument/2006/relationships/hyperlink" Target="https://cihr-irsc.gc.ca/f/54487.html" TargetMode="External"/><Relationship Id="rId74" Type="http://schemas.openxmlformats.org/officeDocument/2006/relationships/hyperlink" Target="https://cihr-irsc.gc.ca/f/54487.html" TargetMode="External"/><Relationship Id="rId79" Type="http://schemas.openxmlformats.org/officeDocument/2006/relationships/hyperlink" Target="https://cihr-irsc.gc.ca/f/54487.html" TargetMode="External"/><Relationship Id="rId5" Type="http://schemas.openxmlformats.org/officeDocument/2006/relationships/customXml" Target="../customXml/item5.xml"/><Relationship Id="rId19" Type="http://schemas.openxmlformats.org/officeDocument/2006/relationships/hyperlink" Target="https://cihr-irsc.gc.ca/f/54487.html" TargetMode="External"/><Relationship Id="rId14" Type="http://schemas.openxmlformats.org/officeDocument/2006/relationships/hyperlink" Target="https://cihr-irsc.gc.ca/f/54487.html" TargetMode="External"/><Relationship Id="rId22" Type="http://schemas.openxmlformats.org/officeDocument/2006/relationships/hyperlink" Target="https://cihr-irsc.gc.ca/f/54487.html" TargetMode="External"/><Relationship Id="rId27" Type="http://schemas.openxmlformats.org/officeDocument/2006/relationships/hyperlink" Target="https://cihr-irsc.gc.ca/f/54487.html" TargetMode="External"/><Relationship Id="rId30" Type="http://schemas.openxmlformats.org/officeDocument/2006/relationships/hyperlink" Target="https://cihr-irsc.gc.ca/f/54487.html" TargetMode="External"/><Relationship Id="rId35" Type="http://schemas.openxmlformats.org/officeDocument/2006/relationships/hyperlink" Target="https://cihr-irsc.gc.ca/f/54487.html" TargetMode="External"/><Relationship Id="rId43" Type="http://schemas.openxmlformats.org/officeDocument/2006/relationships/hyperlink" Target="https://cihr-irsc.gc.ca/f/54487.html" TargetMode="External"/><Relationship Id="rId48" Type="http://schemas.openxmlformats.org/officeDocument/2006/relationships/hyperlink" Target="https://cihr-irsc.gc.ca/f/54487.html" TargetMode="External"/><Relationship Id="rId56" Type="http://schemas.openxmlformats.org/officeDocument/2006/relationships/hyperlink" Target="https://cihr-irsc.gc.ca/f/54487.html" TargetMode="External"/><Relationship Id="rId64" Type="http://schemas.openxmlformats.org/officeDocument/2006/relationships/hyperlink" Target="https://cihr-irsc.gc.ca/f/54487.html" TargetMode="External"/><Relationship Id="rId69" Type="http://schemas.openxmlformats.org/officeDocument/2006/relationships/hyperlink" Target="https://cihr-irsc.gc.ca/f/54487.html" TargetMode="External"/><Relationship Id="rId77" Type="http://schemas.openxmlformats.org/officeDocument/2006/relationships/hyperlink" Target="https://cihr-irsc.gc.ca/f/54487.html" TargetMode="External"/><Relationship Id="rId8" Type="http://schemas.openxmlformats.org/officeDocument/2006/relationships/styles" Target="styles.xml"/><Relationship Id="rId51" Type="http://schemas.openxmlformats.org/officeDocument/2006/relationships/hyperlink" Target="https://cihr-irsc.gc.ca/f/54487.html" TargetMode="External"/><Relationship Id="rId72" Type="http://schemas.openxmlformats.org/officeDocument/2006/relationships/hyperlink" Target="https://cihr-irsc.gc.ca/f/54487.html" TargetMode="External"/><Relationship Id="rId80" Type="http://schemas.openxmlformats.org/officeDocument/2006/relationships/hyperlink" Target="https://ca1.voxco.com/S2/?st=f3oOQBckR%2BYXcsd%2BsSf1GN4%2FY3w3NxWNyR1yoeFo%2FXw%3D&amp;mod=0&amp;lang=fr" TargetMode="External"/><Relationship Id="rId85"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cihr-irsc.gc.ca/f/54487.html" TargetMode="External"/><Relationship Id="rId25" Type="http://schemas.openxmlformats.org/officeDocument/2006/relationships/hyperlink" Target="https://cihr-irsc.gc.ca/f/54487.html" TargetMode="External"/><Relationship Id="rId33" Type="http://schemas.openxmlformats.org/officeDocument/2006/relationships/hyperlink" Target="https://cihr-irsc.gc.ca/f/54487.html" TargetMode="External"/><Relationship Id="rId38" Type="http://schemas.openxmlformats.org/officeDocument/2006/relationships/hyperlink" Target="https://cihr-irsc.gc.ca/f/54487.html" TargetMode="External"/><Relationship Id="rId46" Type="http://schemas.openxmlformats.org/officeDocument/2006/relationships/hyperlink" Target="https://cihr-irsc.gc.ca/f/54487.html" TargetMode="External"/><Relationship Id="rId59" Type="http://schemas.openxmlformats.org/officeDocument/2006/relationships/hyperlink" Target="https://cihr-irsc.gc.ca/f/54487.html" TargetMode="External"/><Relationship Id="rId67" Type="http://schemas.openxmlformats.org/officeDocument/2006/relationships/hyperlink" Target="https://cihr-irsc.gc.ca/f/54487.html" TargetMode="External"/><Relationship Id="rId20" Type="http://schemas.openxmlformats.org/officeDocument/2006/relationships/hyperlink" Target="https://cihr-irsc.gc.ca/f/54487.html" TargetMode="External"/><Relationship Id="rId41" Type="http://schemas.openxmlformats.org/officeDocument/2006/relationships/hyperlink" Target="https://cihr-irsc.gc.ca/f/54487.html" TargetMode="External"/><Relationship Id="rId54" Type="http://schemas.openxmlformats.org/officeDocument/2006/relationships/hyperlink" Target="https://cihr-irsc.gc.ca/f/54487.html" TargetMode="External"/><Relationship Id="rId62" Type="http://schemas.openxmlformats.org/officeDocument/2006/relationships/hyperlink" Target="https://cihr-irsc.gc.ca/f/54487.html" TargetMode="External"/><Relationship Id="rId70" Type="http://schemas.openxmlformats.org/officeDocument/2006/relationships/hyperlink" Target="https://cihr-irsc.gc.ca/f/54487.html" TargetMode="External"/><Relationship Id="rId75" Type="http://schemas.openxmlformats.org/officeDocument/2006/relationships/hyperlink" Target="https://cihr-irsc.gc.ca/f/54487.html" TargetMode="External"/><Relationship Id="rId83" Type="http://schemas.openxmlformats.org/officeDocument/2006/relationships/footer" Target="footer1.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cihr-irsc.gc.ca/f/54487.html" TargetMode="External"/><Relationship Id="rId23" Type="http://schemas.openxmlformats.org/officeDocument/2006/relationships/hyperlink" Target="https://cihr-irsc.gc.ca/f/54487.html" TargetMode="External"/><Relationship Id="rId28" Type="http://schemas.openxmlformats.org/officeDocument/2006/relationships/hyperlink" Target="https://cihr-irsc.gc.ca/f/54487.html" TargetMode="External"/><Relationship Id="rId36" Type="http://schemas.openxmlformats.org/officeDocument/2006/relationships/hyperlink" Target="https://cihr-irsc.gc.ca/f/54487.html" TargetMode="External"/><Relationship Id="rId49" Type="http://schemas.openxmlformats.org/officeDocument/2006/relationships/hyperlink" Target="https://cihr-irsc.gc.ca/f/54487.html" TargetMode="External"/><Relationship Id="rId57" Type="http://schemas.openxmlformats.org/officeDocument/2006/relationships/hyperlink" Target="https://cihr-irsc.gc.ca/f/54487.html" TargetMode="External"/><Relationship Id="rId10" Type="http://schemas.openxmlformats.org/officeDocument/2006/relationships/webSettings" Target="webSettings.xml"/><Relationship Id="rId31" Type="http://schemas.openxmlformats.org/officeDocument/2006/relationships/hyperlink" Target="https://sfdora.org/" TargetMode="External"/><Relationship Id="rId44" Type="http://schemas.openxmlformats.org/officeDocument/2006/relationships/hyperlink" Target="https://cihr-irsc.gc.ca/f/54487.html" TargetMode="External"/><Relationship Id="rId52" Type="http://schemas.openxmlformats.org/officeDocument/2006/relationships/hyperlink" Target="https://cihr-irsc.gc.ca/f/54487.html" TargetMode="External"/><Relationship Id="rId60" Type="http://schemas.openxmlformats.org/officeDocument/2006/relationships/hyperlink" Target="https://cihr-irsc.gc.ca/f/54487.html" TargetMode="External"/><Relationship Id="rId65" Type="http://schemas.openxmlformats.org/officeDocument/2006/relationships/hyperlink" Target="https://cihr-irsc.gc.ca/f/54487.html" TargetMode="External"/><Relationship Id="rId73" Type="http://schemas.openxmlformats.org/officeDocument/2006/relationships/hyperlink" Target="https://cihr-irsc.gc.ca/f/54487.html" TargetMode="External"/><Relationship Id="rId78" Type="http://schemas.openxmlformats.org/officeDocument/2006/relationships/hyperlink" Target="https://cihr-irsc.gc.ca/f/54487.html" TargetMode="External"/><Relationship Id="rId81" Type="http://schemas.openxmlformats.org/officeDocument/2006/relationships/hyperlink" Target="https://www.nserc-crsng.gc.ca/InterAgency-Interorganismes/EDI-EDI/index_fra.asp" TargetMode="Externa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cihr-irsc.gc.ca/f/54487.html" TargetMode="External"/><Relationship Id="rId18" Type="http://schemas.openxmlformats.org/officeDocument/2006/relationships/hyperlink" Target="https://cihr-irsc.gc.ca/f/54487.html" TargetMode="External"/><Relationship Id="rId39" Type="http://schemas.openxmlformats.org/officeDocument/2006/relationships/hyperlink" Target="https://cihr-irsc.gc.ca/f/54487.html" TargetMode="External"/><Relationship Id="rId34" Type="http://schemas.openxmlformats.org/officeDocument/2006/relationships/hyperlink" Target="https://cihr-irsc.gc.ca/f/54487.html" TargetMode="External"/><Relationship Id="rId50" Type="http://schemas.openxmlformats.org/officeDocument/2006/relationships/hyperlink" Target="https://cihr-irsc.gc.ca/f/54487.html" TargetMode="External"/><Relationship Id="rId55" Type="http://schemas.openxmlformats.org/officeDocument/2006/relationships/hyperlink" Target="https://cihr-irsc.gc.ca/f/54487.html" TargetMode="External"/><Relationship Id="rId76" Type="http://schemas.openxmlformats.org/officeDocument/2006/relationships/hyperlink" Target="https://cihr-irsc.gc.ca/f/54487.html" TargetMode="External"/><Relationship Id="rId7" Type="http://schemas.openxmlformats.org/officeDocument/2006/relationships/numbering" Target="numbering.xml"/><Relationship Id="rId71" Type="http://schemas.openxmlformats.org/officeDocument/2006/relationships/hyperlink" Target="https://cihr-irsc.gc.ca/f/54487.html" TargetMode="External"/><Relationship Id="rId2" Type="http://schemas.openxmlformats.org/officeDocument/2006/relationships/customXml" Target="../customXml/item2.xml"/><Relationship Id="rId29" Type="http://schemas.openxmlformats.org/officeDocument/2006/relationships/hyperlink" Target="https://cihr-irsc.gc.ca/f/54487.html" TargetMode="External"/><Relationship Id="rId24" Type="http://schemas.openxmlformats.org/officeDocument/2006/relationships/hyperlink" Target="https://cihr-irsc.gc.ca/f/54487.html" TargetMode="External"/><Relationship Id="rId40" Type="http://schemas.openxmlformats.org/officeDocument/2006/relationships/hyperlink" Target="https://cihr-irsc.gc.ca/f/54487.html" TargetMode="External"/><Relationship Id="rId45" Type="http://schemas.openxmlformats.org/officeDocument/2006/relationships/hyperlink" Target="https://www.cihr-irsc.gc.ca/f/51731.html" TargetMode="External"/><Relationship Id="rId66" Type="http://schemas.openxmlformats.org/officeDocument/2006/relationships/hyperlink" Target="https://cihr-irsc.gc.ca/f/54487.html" TargetMode="External"/><Relationship Id="rId87" Type="http://schemas.openxmlformats.org/officeDocument/2006/relationships/glossaryDocument" Target="glossary/document.xml"/><Relationship Id="rId61" Type="http://schemas.openxmlformats.org/officeDocument/2006/relationships/hyperlink" Target="https://cihr-irsc.gc.ca/f/54487.html" TargetMode="External"/><Relationship Id="rId82"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E1F8AC425C477FA8D7DFC7C486D328"/>
        <w:category>
          <w:name w:val="General"/>
          <w:gallery w:val="placeholder"/>
        </w:category>
        <w:types>
          <w:type w:val="bbPlcHdr"/>
        </w:types>
        <w:behaviors>
          <w:behavior w:val="content"/>
        </w:behaviors>
        <w:guid w:val="{A5D1B4C0-A464-4860-BF36-2A398B272488}"/>
      </w:docPartPr>
      <w:docPartBody>
        <w:p w:rsidR="00576CAE" w:rsidRDefault="00576CAE">
          <w:r w:rsidRPr="002A745F">
            <w:rPr>
              <w:rStyle w:val="PlaceholderText"/>
            </w:rPr>
            <w:t>[Title]</w:t>
          </w:r>
        </w:p>
      </w:docPartBody>
    </w:docPart>
    <w:docPart>
      <w:docPartPr>
        <w:name w:val="4BE4141853AE465388AD40597F27AF43"/>
        <w:category>
          <w:name w:val="General"/>
          <w:gallery w:val="placeholder"/>
        </w:category>
        <w:types>
          <w:type w:val="bbPlcHdr"/>
        </w:types>
        <w:behaviors>
          <w:behavior w:val="content"/>
        </w:behaviors>
        <w:guid w:val="{1823AAE8-05E6-4A0D-B40C-154BC015E324}"/>
      </w:docPartPr>
      <w:docPartBody>
        <w:p w:rsidR="002A0505" w:rsidRDefault="00237AD6">
          <w:r w:rsidRPr="00FB01EB">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CAE"/>
    <w:rsid w:val="00016930"/>
    <w:rsid w:val="00057442"/>
    <w:rsid w:val="00113DBE"/>
    <w:rsid w:val="00150120"/>
    <w:rsid w:val="00174977"/>
    <w:rsid w:val="00186964"/>
    <w:rsid w:val="00234500"/>
    <w:rsid w:val="00237AD6"/>
    <w:rsid w:val="00242261"/>
    <w:rsid w:val="00292ECC"/>
    <w:rsid w:val="002A0372"/>
    <w:rsid w:val="002A0505"/>
    <w:rsid w:val="002E7D2E"/>
    <w:rsid w:val="004009E0"/>
    <w:rsid w:val="004D54D5"/>
    <w:rsid w:val="00526797"/>
    <w:rsid w:val="00576CAE"/>
    <w:rsid w:val="005C31BB"/>
    <w:rsid w:val="006867D4"/>
    <w:rsid w:val="00693BF1"/>
    <w:rsid w:val="006B5140"/>
    <w:rsid w:val="007F0609"/>
    <w:rsid w:val="00824301"/>
    <w:rsid w:val="008255C5"/>
    <w:rsid w:val="0086418B"/>
    <w:rsid w:val="00891128"/>
    <w:rsid w:val="008A0C79"/>
    <w:rsid w:val="008D4F6A"/>
    <w:rsid w:val="00931AB5"/>
    <w:rsid w:val="00A35947"/>
    <w:rsid w:val="00A821F5"/>
    <w:rsid w:val="00AA5726"/>
    <w:rsid w:val="00AF255F"/>
    <w:rsid w:val="00AF3854"/>
    <w:rsid w:val="00AF6203"/>
    <w:rsid w:val="00B4409E"/>
    <w:rsid w:val="00B56A81"/>
    <w:rsid w:val="00BA075B"/>
    <w:rsid w:val="00C36535"/>
    <w:rsid w:val="00D06C9D"/>
    <w:rsid w:val="00DE2658"/>
    <w:rsid w:val="00DE7AC6"/>
    <w:rsid w:val="00E27015"/>
    <w:rsid w:val="00E90B1A"/>
    <w:rsid w:val="00EE4F01"/>
    <w:rsid w:val="00F15777"/>
    <w:rsid w:val="00F44D79"/>
    <w:rsid w:val="00FE61E5"/>
    <w:rsid w:val="00FF244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CAE"/>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7AD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IHR">
      <a:dk1>
        <a:srgbClr val="000000"/>
      </a:dk1>
      <a:lt1>
        <a:sysClr val="window" lastClr="FFFFFF"/>
      </a:lt1>
      <a:dk2>
        <a:srgbClr val="3F9C35"/>
      </a:dk2>
      <a:lt2>
        <a:srgbClr val="EEECE1"/>
      </a:lt2>
      <a:accent1>
        <a:srgbClr val="0094E0"/>
      </a:accent1>
      <a:accent2>
        <a:srgbClr val="FF7900"/>
      </a:accent2>
      <a:accent3>
        <a:srgbClr val="7AB800"/>
      </a:accent3>
      <a:accent4>
        <a:srgbClr val="0073CF"/>
      </a:accent4>
      <a:accent5>
        <a:srgbClr val="63CECA"/>
      </a:accent5>
      <a:accent6>
        <a:srgbClr val="C3009E"/>
      </a:accent6>
      <a:hlink>
        <a:srgbClr val="0073CF"/>
      </a:hlink>
      <a:folHlink>
        <a:srgbClr val="C3009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2025-11-06T00:00:00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AA265A8626DA429EBB93DB195850EF" ma:contentTypeVersion="25" ma:contentTypeDescription="Create a new document." ma:contentTypeScope="" ma:versionID="77d0f8eafaf626c91474564709200fcc">
  <xsd:schema xmlns:xsd="http://www.w3.org/2001/XMLSchema" xmlns:xs="http://www.w3.org/2001/XMLSchema" xmlns:p="http://schemas.microsoft.com/office/2006/metadata/properties" xmlns:ns2="17ca9d0f-d15a-4459-bdd6-d4e3f46a8772" xmlns:ns3="241f02ea-e2f7-4e11-ac4b-db1b8bdcd25a" targetNamespace="http://schemas.microsoft.com/office/2006/metadata/properties" ma:root="true" ma:fieldsID="d81597753a54054306ec6e95f41a01c1" ns2:_="" ns3:_="">
    <xsd:import namespace="17ca9d0f-d15a-4459-bdd6-d4e3f46a8772"/>
    <xsd:import namespace="241f02ea-e2f7-4e11-ac4b-db1b8bdcd25a"/>
    <xsd:element name="properties">
      <xsd:complexType>
        <xsd:sequence>
          <xsd:element name="documentManagement">
            <xsd:complexType>
              <xsd:all>
                <xsd:element ref="ns2:Comment" minOccurs="0"/>
                <xsd:element ref="ns2:Tag"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Status" minOccurs="0"/>
                <xsd:element ref="ns2:MediaServiceSearchProperties" minOccurs="0"/>
                <xsd:element ref="ns2:MediaServiceBillingMetadata"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a9d0f-d15a-4459-bdd6-d4e3f46a8772" elementFormDefault="qualified">
    <xsd:import namespace="http://schemas.microsoft.com/office/2006/documentManagement/types"/>
    <xsd:import namespace="http://schemas.microsoft.com/office/infopath/2007/PartnerControls"/>
    <xsd:element name="Comment" ma:index="3" nillable="true" ma:displayName="Comments" ma:format="Dropdown" ma:internalName="Comment" ma:readOnly="false">
      <xsd:simpleType>
        <xsd:restriction base="dms:Text">
          <xsd:maxLength value="255"/>
        </xsd:restriction>
      </xsd:simpleType>
    </xsd:element>
    <xsd:element name="Tag" ma:index="4" nillable="true" ma:displayName="Tag" ma:format="Dropdown" ma:internalName="Tag">
      <xsd:simpleType>
        <xsd:restriction base="dms:Choice">
          <xsd:enumeration value="Critical"/>
          <xsd:enumeration value="Important"/>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Flow_SignoffStatus" ma:index="18" nillable="true" ma:displayName="Sign-off status" ma:hidden="true" ma:internalName="Sign_x002d_off_x0020_status" ma:readOnly="fals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b54757-d6c2-4622-be75-e13cea5419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Status" ma:index="27" nillable="true" ma:displayName="Status" ma:format="Dropdown" ma:internalName="Status">
      <xsd:simpleType>
        <xsd:restriction base="dms:Choice">
          <xsd:enumeration value="Approved"/>
          <xsd:enumeration value="Needs Review"/>
          <xsd:enumeration value="Needs Translation"/>
          <xsd:enumeration value="Under Review"/>
          <xsd:enumeration value="Resolve Edits"/>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1f02ea-e2f7-4e11-ac4b-db1b8bdcd25a"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20735a7d-a332-4b28-8120-0a551282e986}" ma:internalName="TaxCatchAll" ma:readOnly="false" ma:showField="CatchAllData" ma:web="241f02ea-e2f7-4e11-ac4b-db1b8bdcd25a">
      <xsd:complexType>
        <xsd:complexContent>
          <xsd:extension base="dms:MultiChoiceLookup">
            <xsd:sequence>
              <xsd:element name="Value" type="dms:Lookup" maxOccurs="unbounded" minOccurs="0" nillable="true"/>
            </xsd:sequence>
          </xsd:extension>
        </xsd:complexContent>
      </xsd:complexType>
    </xsd:element>
    <xsd:element name="_dlc_DocId" ma:index="30" nillable="true" ma:displayName="Document ID Value" ma:description="The value of the document ID assigned to this item." ma:indexed="true"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241f02ea-e2f7-4e11-ac4b-db1b8bdcd25a">
      <UserInfo>
        <DisplayName>Fernandes, Alexander (CIHR/IRSC)</DisplayName>
        <AccountId>44</AccountId>
        <AccountType/>
      </UserInfo>
      <UserInfo>
        <DisplayName>Palmer, Matthew (CIHR/IRSC)</DisplayName>
        <AccountId>30</AccountId>
        <AccountType/>
      </UserInfo>
    </SharedWithUsers>
    <Comment xmlns="17ca9d0f-d15a-4459-bdd6-d4e3f46a8772" xsi:nil="true"/>
    <lcf76f155ced4ddcb4097134ff3c332f xmlns="17ca9d0f-d15a-4459-bdd6-d4e3f46a8772">
      <Terms xmlns="http://schemas.microsoft.com/office/infopath/2007/PartnerControls"/>
    </lcf76f155ced4ddcb4097134ff3c332f>
    <TaxCatchAll xmlns="241f02ea-e2f7-4e11-ac4b-db1b8bdcd25a" xsi:nil="true"/>
    <_Flow_SignoffStatus xmlns="17ca9d0f-d15a-4459-bdd6-d4e3f46a8772" xsi:nil="true"/>
    <Tag xmlns="17ca9d0f-d15a-4459-bdd6-d4e3f46a8772" xsi:nil="true"/>
    <Status xmlns="17ca9d0f-d15a-4459-bdd6-d4e3f46a8772" xsi:nil="true"/>
    <_dlc_DocId xmlns="241f02ea-e2f7-4e11-ac4b-db1b8bdcd25a">SQZ5YAR7JCH6-313249084-161093</_dlc_DocId>
    <_dlc_DocIdUrl xmlns="241f02ea-e2f7-4e11-ac4b-db1b8bdcd25a">
      <Url>https://061gc.sharepoint.com/sites/LearningandMentoring/_layouts/15/DocIdRedir.aspx?ID=SQZ5YAR7JCH6-313249084-161093</Url>
      <Description>SQZ5YAR7JCH6-313249084-161093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D88D84-A919-4148-BFE0-DE908F9C8ED7}">
  <ds:schemaRefs>
    <ds:schemaRef ds:uri="http://schemas.microsoft.com/sharepoint/v3/contenttype/forms"/>
  </ds:schemaRefs>
</ds:datastoreItem>
</file>

<file path=customXml/itemProps3.xml><?xml version="1.0" encoding="utf-8"?>
<ds:datastoreItem xmlns:ds="http://schemas.openxmlformats.org/officeDocument/2006/customXml" ds:itemID="{EA3DFC0F-D5E2-4E6B-BF89-65B1C92A2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a9d0f-d15a-4459-bdd6-d4e3f46a8772"/>
    <ds:schemaRef ds:uri="241f02ea-e2f7-4e11-ac4b-db1b8bdcd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87A935-20AB-4FED-B446-F400A530B416}">
  <ds:schemaRefs>
    <ds:schemaRef ds:uri="http://schemas.microsoft.com/office/2006/metadata/properties"/>
    <ds:schemaRef ds:uri="http://schemas.microsoft.com/office/infopath/2007/PartnerControls"/>
    <ds:schemaRef ds:uri="241f02ea-e2f7-4e11-ac4b-db1b8bdcd25a"/>
    <ds:schemaRef ds:uri="17ca9d0f-d15a-4459-bdd6-d4e3f46a8772"/>
  </ds:schemaRefs>
</ds:datastoreItem>
</file>

<file path=customXml/itemProps5.xml><?xml version="1.0" encoding="utf-8"?>
<ds:datastoreItem xmlns:ds="http://schemas.openxmlformats.org/officeDocument/2006/customXml" ds:itemID="{66CDCA02-8729-44D2-80E2-86E6DD870843}">
  <ds:schemaRefs>
    <ds:schemaRef ds:uri="http://schemas.openxmlformats.org/officeDocument/2006/bibliography"/>
  </ds:schemaRefs>
</ds:datastoreItem>
</file>

<file path=customXml/itemProps6.xml><?xml version="1.0" encoding="utf-8"?>
<ds:datastoreItem xmlns:ds="http://schemas.openxmlformats.org/officeDocument/2006/customXml" ds:itemID="{A3910D3D-179F-46C7-9DC8-239E7D824D5B}">
  <ds:schemaRefs>
    <ds:schemaRef ds:uri="http://schemas.microsoft.com/sharepoint/events"/>
  </ds:schemaRefs>
</ds:datastoreItem>
</file>

<file path=docMetadata/LabelInfo.xml><?xml version="1.0" encoding="utf-8"?>
<clbl:labelList xmlns:clbl="http://schemas.microsoft.com/office/2020/mipLabelMetadata">
  <clbl:label id="{1ebfccd6-7d44-4806-8ffc-bb521f3acc24}" enabled="0" method="" siteId="{1ebfccd6-7d44-4806-8ffc-bb521f3acc24}"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25</Pages>
  <Words>6951</Words>
  <Characters>39735</Characters>
  <Application>Microsoft Office Word</Application>
  <DocSecurity>0</DocSecurity>
  <Lines>632</Lines>
  <Paragraphs>281</Paragraphs>
  <ScaleCrop>false</ScaleCrop>
  <HeadingPairs>
    <vt:vector size="2" baseType="variant">
      <vt:variant>
        <vt:lpstr>Title</vt:lpstr>
      </vt:variant>
      <vt:variant>
        <vt:i4>1</vt:i4>
      </vt:variant>
    </vt:vector>
  </HeadingPairs>
  <TitlesOfParts>
    <vt:vector size="1" baseType="lpstr">
      <vt:lpstr>Préjugés dans l'évaluation par les pairs - Transcription</vt:lpstr>
    </vt:vector>
  </TitlesOfParts>
  <Company>Canadian Institutes of Health Research</Company>
  <LinksUpToDate>false</LinksUpToDate>
  <CharactersWithSpaces>46483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Préjugés dans l'évaluation par les pairs - Transcription</dc:title>
  <dc:subject/>
  <dc:creator>Palmer, Matthew (CIHR/IRSC)</dc:creator>
  <cp:keywords/>
  <dc:description/>
  <cp:lastModifiedBy>White, Brandon (CIHR/IRSC)</cp:lastModifiedBy>
  <cp:revision>5</cp:revision>
  <cp:lastPrinted>2023-08-31T17:57:00Z</cp:lastPrinted>
  <dcterms:created xsi:type="dcterms:W3CDTF">2026-03-13T12:49:00Z</dcterms:created>
  <dcterms:modified xsi:type="dcterms:W3CDTF">2026-03-13T17:32:00Z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0x0101000EAA265A8626DA429EBB93DB195850EF</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_dlc_DocIdItemGuid">
    <vt:lpwstr>f457458c-406b-4091-9ff3-9e5aa64687cb</vt:lpwstr>
  </property>
</Properties>
</file>